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5"/>
        <w:spacing w:before="0" w:beforeAutospacing="0" w:after="0" w:afterAutospacing="0"/>
        <w:jc w:val="center"/>
        <w:rPr>
          <w:rFonts w:hint="eastAsia" w:ascii="方正小标宋简体" w:hAnsi="黑体" w:eastAsia="方正小标宋简体"/>
          <w:sz w:val="28"/>
          <w:szCs w:val="28"/>
        </w:rPr>
      </w:pPr>
      <w:bookmarkStart w:id="2" w:name="_GoBack"/>
      <w:r>
        <w:rPr>
          <w:rFonts w:hint="eastAsia" w:ascii="方正小标宋简体" w:hAnsi="黑体" w:eastAsia="方正小标宋简体"/>
          <w:sz w:val="28"/>
          <w:szCs w:val="28"/>
        </w:rPr>
        <w:t>附件：浙江科技学院共青团工作2015年度考核细则</w:t>
      </w:r>
    </w:p>
    <w:bookmarkEnd w:id="2"/>
    <w:tbl>
      <w:tblPr>
        <w:tblStyle w:val="4"/>
        <w:tblW w:w="982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2"/>
        <w:gridCol w:w="500"/>
        <w:gridCol w:w="7431"/>
        <w:gridCol w:w="714"/>
        <w:gridCol w:w="4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tblHeader/>
          <w:jc w:val="center"/>
        </w:trPr>
        <w:tc>
          <w:tcPr>
            <w:tcW w:w="752" w:type="dxa"/>
            <w:vMerge w:val="restart"/>
            <w:vAlign w:val="center"/>
          </w:tcPr>
          <w:p>
            <w:pPr>
              <w:spacing w:line="240" w:lineRule="exact"/>
              <w:jc w:val="center"/>
              <w:rPr>
                <w:rFonts w:hint="eastAsia" w:ascii="黑体" w:hAnsi="黑体" w:eastAsia="黑体"/>
                <w:spacing w:val="-10"/>
                <w:szCs w:val="21"/>
              </w:rPr>
            </w:pPr>
            <w:bookmarkStart w:id="0" w:name="_Hlk294790050"/>
            <w:r>
              <w:rPr>
                <w:rFonts w:hint="eastAsia" w:ascii="黑体" w:hAnsi="黑体" w:eastAsia="黑体"/>
                <w:spacing w:val="-10"/>
                <w:szCs w:val="21"/>
              </w:rPr>
              <w:t>考核内容</w:t>
            </w:r>
          </w:p>
        </w:tc>
        <w:tc>
          <w:tcPr>
            <w:tcW w:w="500" w:type="dxa"/>
            <w:vMerge w:val="restart"/>
            <w:vAlign w:val="center"/>
          </w:tcPr>
          <w:p>
            <w:pPr>
              <w:spacing w:line="240" w:lineRule="exact"/>
              <w:jc w:val="center"/>
              <w:rPr>
                <w:rFonts w:hint="eastAsia" w:ascii="黑体" w:hAnsi="黑体" w:eastAsia="黑体"/>
                <w:spacing w:val="-10"/>
                <w:szCs w:val="21"/>
              </w:rPr>
            </w:pPr>
            <w:r>
              <w:rPr>
                <w:rFonts w:hint="eastAsia" w:ascii="黑体" w:hAnsi="黑体" w:eastAsia="黑体"/>
                <w:spacing w:val="-10"/>
                <w:szCs w:val="21"/>
              </w:rPr>
              <w:t>分值</w:t>
            </w:r>
          </w:p>
        </w:tc>
        <w:tc>
          <w:tcPr>
            <w:tcW w:w="7431" w:type="dxa"/>
            <w:vMerge w:val="restart"/>
            <w:vAlign w:val="center"/>
          </w:tcPr>
          <w:p>
            <w:pPr>
              <w:spacing w:line="240" w:lineRule="exact"/>
              <w:jc w:val="center"/>
              <w:rPr>
                <w:rFonts w:hint="eastAsia" w:ascii="黑体" w:hAnsi="黑体" w:eastAsia="黑体"/>
                <w:spacing w:val="-10"/>
                <w:szCs w:val="21"/>
              </w:rPr>
            </w:pPr>
            <w:r>
              <w:rPr>
                <w:rFonts w:hint="eastAsia" w:ascii="黑体" w:hAnsi="黑体" w:eastAsia="黑体"/>
                <w:spacing w:val="-10"/>
                <w:szCs w:val="21"/>
              </w:rPr>
              <w:t>考核指标</w:t>
            </w:r>
          </w:p>
        </w:tc>
        <w:tc>
          <w:tcPr>
            <w:tcW w:w="714" w:type="dxa"/>
            <w:vMerge w:val="restart"/>
            <w:vAlign w:val="center"/>
          </w:tcPr>
          <w:p>
            <w:pPr>
              <w:spacing w:line="240" w:lineRule="exact"/>
              <w:jc w:val="center"/>
              <w:rPr>
                <w:rFonts w:hint="eastAsia" w:ascii="黑体" w:hAnsi="黑体" w:eastAsia="黑体"/>
                <w:spacing w:val="-10"/>
                <w:szCs w:val="21"/>
              </w:rPr>
            </w:pPr>
            <w:r>
              <w:rPr>
                <w:rFonts w:hint="eastAsia" w:ascii="黑体" w:hAnsi="黑体" w:eastAsia="黑体"/>
                <w:spacing w:val="-10"/>
                <w:szCs w:val="21"/>
              </w:rPr>
              <w:t>单项值</w:t>
            </w:r>
          </w:p>
        </w:tc>
        <w:tc>
          <w:tcPr>
            <w:tcW w:w="429" w:type="dxa"/>
            <w:vMerge w:val="restart"/>
            <w:vAlign w:val="center"/>
          </w:tcPr>
          <w:p>
            <w:pPr>
              <w:spacing w:line="240" w:lineRule="exact"/>
              <w:rPr>
                <w:rFonts w:hint="eastAsia" w:ascii="黑体" w:hAnsi="黑体" w:eastAsia="黑体"/>
                <w:spacing w:val="-10"/>
                <w:szCs w:val="21"/>
              </w:rPr>
            </w:pPr>
            <w:r>
              <w:rPr>
                <w:rFonts w:hint="eastAsia" w:ascii="黑体" w:hAnsi="黑体" w:eastAsia="黑体"/>
                <w:spacing w:val="-10"/>
                <w:szCs w:val="21"/>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tblHeader/>
          <w:jc w:val="center"/>
        </w:trPr>
        <w:tc>
          <w:tcPr>
            <w:tcW w:w="752" w:type="dxa"/>
            <w:vMerge w:val="continue"/>
            <w:vAlign w:val="center"/>
          </w:tcPr>
          <w:p>
            <w:pPr>
              <w:spacing w:line="240" w:lineRule="exact"/>
              <w:rPr>
                <w:rFonts w:hint="eastAsia" w:ascii="仿宋" w:hAnsi="仿宋" w:eastAsia="仿宋"/>
                <w:spacing w:val="-10"/>
                <w:sz w:val="18"/>
                <w:szCs w:val="18"/>
              </w:rPr>
            </w:pPr>
          </w:p>
        </w:tc>
        <w:tc>
          <w:tcPr>
            <w:tcW w:w="500" w:type="dxa"/>
            <w:vMerge w:val="continue"/>
            <w:vAlign w:val="center"/>
          </w:tcPr>
          <w:p>
            <w:pPr>
              <w:spacing w:line="240" w:lineRule="exact"/>
              <w:rPr>
                <w:rFonts w:hint="eastAsia" w:ascii="仿宋" w:hAnsi="仿宋" w:eastAsia="仿宋"/>
                <w:spacing w:val="-10"/>
                <w:sz w:val="18"/>
                <w:szCs w:val="18"/>
              </w:rPr>
            </w:pPr>
          </w:p>
        </w:tc>
        <w:tc>
          <w:tcPr>
            <w:tcW w:w="7431" w:type="dxa"/>
            <w:vMerge w:val="continue"/>
            <w:vAlign w:val="center"/>
          </w:tcPr>
          <w:p>
            <w:pPr>
              <w:spacing w:line="240" w:lineRule="exact"/>
              <w:rPr>
                <w:rFonts w:hint="eastAsia" w:ascii="仿宋" w:hAnsi="仿宋" w:eastAsia="仿宋"/>
                <w:spacing w:val="-10"/>
                <w:sz w:val="18"/>
                <w:szCs w:val="18"/>
              </w:rPr>
            </w:pPr>
          </w:p>
        </w:tc>
        <w:tc>
          <w:tcPr>
            <w:tcW w:w="714" w:type="dxa"/>
            <w:vMerge w:val="continue"/>
            <w:vAlign w:val="center"/>
          </w:tcPr>
          <w:p>
            <w:pPr>
              <w:spacing w:line="240" w:lineRule="exact"/>
              <w:rPr>
                <w:rFonts w:hint="eastAsia" w:ascii="仿宋" w:hAnsi="仿宋" w:eastAsia="仿宋"/>
                <w:spacing w:val="-10"/>
                <w:sz w:val="18"/>
                <w:szCs w:val="18"/>
              </w:rPr>
            </w:pPr>
          </w:p>
        </w:tc>
        <w:tc>
          <w:tcPr>
            <w:tcW w:w="429" w:type="dxa"/>
            <w:vMerge w:val="continue"/>
            <w:vAlign w:val="center"/>
          </w:tcPr>
          <w:p>
            <w:pPr>
              <w:spacing w:line="240" w:lineRule="exact"/>
              <w:rPr>
                <w:rFonts w:hint="eastAsia" w:ascii="仿宋" w:hAnsi="仿宋" w:eastAsia="仿宋"/>
                <w:spacing w:val="-1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jc w:val="center"/>
        </w:trPr>
        <w:tc>
          <w:tcPr>
            <w:tcW w:w="752" w:type="dxa"/>
            <w:vMerge w:val="restart"/>
            <w:vAlign w:val="center"/>
          </w:tcPr>
          <w:p>
            <w:pPr>
              <w:spacing w:line="240" w:lineRule="exact"/>
              <w:jc w:val="center"/>
              <w:rPr>
                <w:rFonts w:hint="eastAsia" w:ascii="仿宋_GB2312" w:hAnsi="仿宋_GB2312" w:eastAsia="仿宋_GB2312" w:cs="仿宋_GB2312"/>
                <w:color w:val="000000"/>
                <w:kern w:val="0"/>
                <w:sz w:val="18"/>
                <w:szCs w:val="18"/>
              </w:rPr>
            </w:pPr>
            <w:bookmarkStart w:id="1" w:name="_Hlk294858358"/>
            <w:r>
              <w:rPr>
                <w:rFonts w:hint="eastAsia" w:ascii="仿宋_GB2312" w:hAnsi="仿宋_GB2312" w:eastAsia="仿宋_GB2312" w:cs="仿宋_GB2312"/>
                <w:color w:val="000000"/>
                <w:kern w:val="0"/>
                <w:sz w:val="18"/>
                <w:szCs w:val="18"/>
              </w:rPr>
              <w:t>组织建设</w:t>
            </w:r>
          </w:p>
        </w:tc>
        <w:tc>
          <w:tcPr>
            <w:tcW w:w="500" w:type="dxa"/>
            <w:vMerge w:val="restart"/>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w:t>
            </w: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按时完成分团委换届选举工作。</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429" w:type="dxa"/>
            <w:vAlign w:val="center"/>
          </w:tcPr>
          <w:p>
            <w:pPr>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continue"/>
            <w:vAlign w:val="center"/>
          </w:tcPr>
          <w:p>
            <w:pPr>
              <w:spacing w:line="240" w:lineRule="exact"/>
              <w:jc w:val="center"/>
              <w:rPr>
                <w:rFonts w:hint="eastAsia" w:ascii="仿宋_GB2312" w:hAnsi="仿宋_GB2312" w:eastAsia="仿宋_GB2312" w:cs="仿宋_GB2312"/>
                <w:color w:val="000000"/>
                <w:kern w:val="0"/>
                <w:sz w:val="18"/>
                <w:szCs w:val="18"/>
              </w:rPr>
            </w:pPr>
          </w:p>
        </w:tc>
        <w:tc>
          <w:tcPr>
            <w:tcW w:w="500" w:type="dxa"/>
            <w:vMerge w:val="continue"/>
            <w:vAlign w:val="center"/>
          </w:tcPr>
          <w:p>
            <w:pPr>
              <w:spacing w:line="240" w:lineRule="exact"/>
              <w:rPr>
                <w:rFonts w:hint="eastAsia" w:ascii="仿宋_GB2312" w:hAnsi="仿宋_GB2312" w:eastAsia="仿宋_GB2312" w:cs="仿宋_GB2312"/>
                <w:color w:val="000000"/>
                <w:kern w:val="0"/>
                <w:sz w:val="18"/>
                <w:szCs w:val="18"/>
              </w:rPr>
            </w:pP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规范推优入党制度，团员推优入党率100%，二级团校工作正常开展。</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429" w:type="dxa"/>
            <w:vAlign w:val="center"/>
          </w:tcPr>
          <w:p>
            <w:pPr>
              <w:spacing w:line="240" w:lineRule="exact"/>
              <w:rPr>
                <w:rFonts w:hint="eastAsia" w:ascii="仿宋" w:hAnsi="仿宋" w:eastAsia="仿宋"/>
                <w:color w:val="FF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continue"/>
            <w:vAlign w:val="center"/>
          </w:tcPr>
          <w:p>
            <w:pPr>
              <w:spacing w:line="240" w:lineRule="exact"/>
              <w:jc w:val="center"/>
              <w:rPr>
                <w:rFonts w:hint="eastAsia" w:ascii="仿宋_GB2312" w:hAnsi="仿宋_GB2312" w:eastAsia="仿宋_GB2312" w:cs="仿宋_GB2312"/>
                <w:color w:val="000000"/>
                <w:kern w:val="0"/>
                <w:sz w:val="18"/>
                <w:szCs w:val="18"/>
              </w:rPr>
            </w:pPr>
          </w:p>
        </w:tc>
        <w:tc>
          <w:tcPr>
            <w:tcW w:w="500" w:type="dxa"/>
            <w:vMerge w:val="continue"/>
            <w:vAlign w:val="center"/>
          </w:tcPr>
          <w:p>
            <w:pPr>
              <w:spacing w:line="240" w:lineRule="exact"/>
              <w:rPr>
                <w:rFonts w:hint="eastAsia" w:ascii="仿宋_GB2312" w:hAnsi="仿宋_GB2312" w:eastAsia="仿宋_GB2312" w:cs="仿宋_GB2312"/>
                <w:color w:val="000000"/>
                <w:kern w:val="0"/>
                <w:sz w:val="18"/>
                <w:szCs w:val="18"/>
              </w:rPr>
            </w:pP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院级学生组织服从学校整体工作安排，并能按校级相关学生组织要求积极开展工作。</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429" w:type="dxa"/>
            <w:vAlign w:val="center"/>
          </w:tcPr>
          <w:p>
            <w:pPr>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continue"/>
            <w:vAlign w:val="center"/>
          </w:tcPr>
          <w:p>
            <w:pPr>
              <w:spacing w:line="240" w:lineRule="exact"/>
              <w:jc w:val="center"/>
              <w:rPr>
                <w:rFonts w:hint="eastAsia" w:ascii="仿宋_GB2312" w:hAnsi="仿宋_GB2312" w:eastAsia="仿宋_GB2312" w:cs="仿宋_GB2312"/>
                <w:color w:val="000000"/>
                <w:kern w:val="0"/>
                <w:sz w:val="18"/>
                <w:szCs w:val="18"/>
              </w:rPr>
            </w:pPr>
          </w:p>
        </w:tc>
        <w:tc>
          <w:tcPr>
            <w:tcW w:w="500" w:type="dxa"/>
            <w:vMerge w:val="continue"/>
            <w:vAlign w:val="center"/>
          </w:tcPr>
          <w:p>
            <w:pPr>
              <w:spacing w:line="240" w:lineRule="exact"/>
              <w:rPr>
                <w:rFonts w:hint="eastAsia" w:ascii="仿宋_GB2312" w:hAnsi="仿宋_GB2312" w:eastAsia="仿宋_GB2312" w:cs="仿宋_GB2312"/>
                <w:color w:val="000000"/>
                <w:kern w:val="0"/>
                <w:sz w:val="18"/>
                <w:szCs w:val="18"/>
              </w:rPr>
            </w:pPr>
          </w:p>
        </w:tc>
        <w:tc>
          <w:tcPr>
            <w:tcW w:w="7431" w:type="dxa"/>
            <w:vAlign w:val="center"/>
          </w:tcPr>
          <w:p>
            <w:pPr>
              <w:spacing w:line="240" w:lineRule="exact"/>
              <w:rPr>
                <w:rFonts w:hint="eastAsia" w:ascii="仿宋_GB2312" w:hAnsi="仿宋_GB2312" w:eastAsia="仿宋_GB2312" w:cs="仿宋_GB2312"/>
                <w:color w:val="3366FF"/>
                <w:kern w:val="0"/>
                <w:sz w:val="18"/>
                <w:szCs w:val="18"/>
              </w:rPr>
            </w:pPr>
            <w:r>
              <w:rPr>
                <w:rFonts w:hint="eastAsia" w:ascii="仿宋_GB2312" w:hAnsi="仿宋_GB2312" w:eastAsia="仿宋_GB2312" w:cs="仿宋_GB2312"/>
                <w:color w:val="000000"/>
                <w:kern w:val="0"/>
                <w:sz w:val="18"/>
                <w:szCs w:val="18"/>
              </w:rPr>
              <w:t>开展基层活力团组织创建活动，有学生会、社管中心、志愿者协会、中研会学生组织，并指导其正常开展工作，成绩显著。</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w:t>
            </w:r>
          </w:p>
        </w:tc>
        <w:tc>
          <w:tcPr>
            <w:tcW w:w="429" w:type="dxa"/>
            <w:vAlign w:val="center"/>
          </w:tcPr>
          <w:p>
            <w:pPr>
              <w:spacing w:line="240" w:lineRule="exact"/>
              <w:rPr>
                <w:rFonts w:hint="eastAsia" w:ascii="仿宋" w:hAnsi="仿宋" w:eastAsia="仿宋"/>
                <w:color w:val="000000"/>
                <w:spacing w:val="-6"/>
                <w:sz w:val="18"/>
                <w:szCs w:val="18"/>
              </w:rPr>
            </w:pPr>
          </w:p>
        </w:tc>
      </w:tr>
      <w:bookmarkEnd w:id="0"/>
      <w:bookmarkEnd w:id="1"/>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restart"/>
            <w:vAlign w:val="center"/>
          </w:tcPr>
          <w:p>
            <w:pPr>
              <w:spacing w:line="24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思想引领</w:t>
            </w:r>
          </w:p>
        </w:tc>
        <w:tc>
          <w:tcPr>
            <w:tcW w:w="500" w:type="dxa"/>
            <w:vMerge w:val="restart"/>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20</w:t>
            </w: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推进“我的寝室我的家”文明寝室创建活动，有寝室入选校十佳文明寝室。</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429" w:type="dxa"/>
            <w:vAlign w:val="center"/>
          </w:tcPr>
          <w:p>
            <w:pPr>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continue"/>
            <w:vAlign w:val="center"/>
          </w:tcPr>
          <w:p>
            <w:pPr>
              <w:spacing w:line="240" w:lineRule="exact"/>
              <w:jc w:val="center"/>
              <w:rPr>
                <w:rFonts w:hint="eastAsia" w:ascii="仿宋_GB2312" w:hAnsi="仿宋_GB2312" w:eastAsia="仿宋_GB2312" w:cs="仿宋_GB2312"/>
                <w:color w:val="000000"/>
                <w:kern w:val="0"/>
                <w:sz w:val="18"/>
                <w:szCs w:val="18"/>
              </w:rPr>
            </w:pPr>
          </w:p>
        </w:tc>
        <w:tc>
          <w:tcPr>
            <w:tcW w:w="500" w:type="dxa"/>
            <w:vMerge w:val="continue"/>
            <w:vAlign w:val="center"/>
          </w:tcPr>
          <w:p>
            <w:pPr>
              <w:spacing w:line="240" w:lineRule="exact"/>
              <w:rPr>
                <w:rFonts w:hint="eastAsia" w:ascii="仿宋_GB2312" w:hAnsi="仿宋_GB2312" w:eastAsia="仿宋_GB2312" w:cs="仿宋_GB2312"/>
                <w:color w:val="000000"/>
                <w:kern w:val="0"/>
                <w:sz w:val="18"/>
                <w:szCs w:val="18"/>
              </w:rPr>
            </w:pPr>
          </w:p>
        </w:tc>
        <w:tc>
          <w:tcPr>
            <w:tcW w:w="7431" w:type="dxa"/>
            <w:vAlign w:val="center"/>
          </w:tcPr>
          <w:p>
            <w:pPr>
              <w:spacing w:line="240" w:lineRule="exact"/>
              <w:rPr>
                <w:rFonts w:hint="eastAsia" w:ascii="仿宋_GB2312" w:hAnsi="仿宋_GB2312" w:eastAsia="仿宋_GB2312" w:cs="仿宋_GB2312"/>
                <w:color w:val="3366FF"/>
                <w:kern w:val="0"/>
                <w:sz w:val="18"/>
                <w:szCs w:val="18"/>
              </w:rPr>
            </w:pPr>
            <w:r>
              <w:rPr>
                <w:rFonts w:hint="eastAsia" w:ascii="仿宋_GB2312" w:hAnsi="仿宋_GB2312" w:eastAsia="仿宋_GB2312" w:cs="仿宋_GB2312"/>
                <w:color w:val="000000"/>
                <w:kern w:val="0"/>
                <w:sz w:val="18"/>
                <w:szCs w:val="18"/>
              </w:rPr>
              <w:t>开展“绿色、价值、青春”主题团支部节活动，活动开展有成效，做到有主题、有载体、有记录、有总结。</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w:t>
            </w:r>
          </w:p>
        </w:tc>
        <w:tc>
          <w:tcPr>
            <w:tcW w:w="429" w:type="dxa"/>
            <w:vAlign w:val="center"/>
          </w:tcPr>
          <w:p>
            <w:pPr>
              <w:tabs>
                <w:tab w:val="left" w:pos="12240"/>
              </w:tabs>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continue"/>
            <w:vAlign w:val="center"/>
          </w:tcPr>
          <w:p>
            <w:pPr>
              <w:spacing w:line="240" w:lineRule="exact"/>
              <w:jc w:val="center"/>
              <w:rPr>
                <w:rFonts w:hint="eastAsia" w:ascii="仿宋_GB2312" w:hAnsi="仿宋_GB2312" w:eastAsia="仿宋_GB2312" w:cs="仿宋_GB2312"/>
                <w:color w:val="000000"/>
                <w:kern w:val="0"/>
                <w:sz w:val="18"/>
                <w:szCs w:val="18"/>
              </w:rPr>
            </w:pPr>
          </w:p>
        </w:tc>
        <w:tc>
          <w:tcPr>
            <w:tcW w:w="500" w:type="dxa"/>
            <w:vMerge w:val="continue"/>
            <w:vAlign w:val="center"/>
          </w:tcPr>
          <w:p>
            <w:pPr>
              <w:spacing w:line="240" w:lineRule="exact"/>
              <w:rPr>
                <w:rFonts w:hint="eastAsia" w:ascii="仿宋_GB2312" w:hAnsi="仿宋_GB2312" w:eastAsia="仿宋_GB2312" w:cs="仿宋_GB2312"/>
                <w:color w:val="000000"/>
                <w:kern w:val="0"/>
                <w:sz w:val="18"/>
                <w:szCs w:val="18"/>
              </w:rPr>
            </w:pP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每个基层团支部每个学期至少举办一次学习习近平总书记系列重要讲话精神“四进四信”活动，开展“我为核心价值观代言”活动，重点挖掘和培育1个社会主义核心价值观主题精品文化作品和项目。</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w:t>
            </w:r>
          </w:p>
        </w:tc>
        <w:tc>
          <w:tcPr>
            <w:tcW w:w="429" w:type="dxa"/>
            <w:vAlign w:val="center"/>
          </w:tcPr>
          <w:p>
            <w:pPr>
              <w:tabs>
                <w:tab w:val="left" w:pos="12240"/>
              </w:tabs>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continue"/>
            <w:vAlign w:val="center"/>
          </w:tcPr>
          <w:p>
            <w:pPr>
              <w:spacing w:line="240" w:lineRule="exact"/>
              <w:jc w:val="center"/>
              <w:rPr>
                <w:rFonts w:hint="eastAsia" w:ascii="仿宋_GB2312" w:hAnsi="仿宋_GB2312" w:eastAsia="仿宋_GB2312" w:cs="仿宋_GB2312"/>
                <w:color w:val="000000"/>
                <w:kern w:val="0"/>
                <w:sz w:val="18"/>
                <w:szCs w:val="18"/>
              </w:rPr>
            </w:pPr>
          </w:p>
        </w:tc>
        <w:tc>
          <w:tcPr>
            <w:tcW w:w="500" w:type="dxa"/>
            <w:vMerge w:val="continue"/>
            <w:vAlign w:val="center"/>
          </w:tcPr>
          <w:p>
            <w:pPr>
              <w:spacing w:line="240" w:lineRule="exact"/>
              <w:rPr>
                <w:rFonts w:hint="eastAsia" w:ascii="仿宋_GB2312" w:hAnsi="仿宋_GB2312" w:eastAsia="仿宋_GB2312" w:cs="仿宋_GB2312"/>
                <w:color w:val="000000"/>
                <w:kern w:val="0"/>
                <w:sz w:val="18"/>
                <w:szCs w:val="18"/>
              </w:rPr>
            </w:pP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做好大学生年度人物（好老师）推荐和选举工作。</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429" w:type="dxa"/>
            <w:vAlign w:val="center"/>
          </w:tcPr>
          <w:p>
            <w:pPr>
              <w:tabs>
                <w:tab w:val="left" w:pos="12240"/>
              </w:tabs>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continue"/>
            <w:vAlign w:val="center"/>
          </w:tcPr>
          <w:p>
            <w:pPr>
              <w:spacing w:line="240" w:lineRule="exact"/>
              <w:jc w:val="center"/>
              <w:rPr>
                <w:rFonts w:hint="eastAsia" w:ascii="仿宋_GB2312" w:hAnsi="仿宋_GB2312" w:eastAsia="仿宋_GB2312" w:cs="仿宋_GB2312"/>
                <w:color w:val="000000"/>
                <w:kern w:val="0"/>
                <w:sz w:val="18"/>
                <w:szCs w:val="18"/>
              </w:rPr>
            </w:pPr>
          </w:p>
        </w:tc>
        <w:tc>
          <w:tcPr>
            <w:tcW w:w="500" w:type="dxa"/>
            <w:vMerge w:val="continue"/>
            <w:vAlign w:val="center"/>
          </w:tcPr>
          <w:p>
            <w:pPr>
              <w:spacing w:line="240" w:lineRule="exact"/>
              <w:rPr>
                <w:rFonts w:hint="eastAsia" w:ascii="仿宋_GB2312" w:hAnsi="仿宋_GB2312" w:eastAsia="仿宋_GB2312" w:cs="仿宋_GB2312"/>
                <w:color w:val="000000"/>
                <w:kern w:val="0"/>
                <w:sz w:val="18"/>
                <w:szCs w:val="18"/>
              </w:rPr>
            </w:pP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绿色责任区建设：组建“绿色校园”志愿服务队进行节水节电、文化建设等工作，设立分类垃圾箱并做好后续处理，每学期至少开展2次绿色校园相关活动</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w:t>
            </w:r>
          </w:p>
        </w:tc>
        <w:tc>
          <w:tcPr>
            <w:tcW w:w="429" w:type="dxa"/>
            <w:vAlign w:val="center"/>
          </w:tcPr>
          <w:p>
            <w:pPr>
              <w:tabs>
                <w:tab w:val="left" w:pos="12240"/>
              </w:tabs>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continue"/>
            <w:vAlign w:val="center"/>
          </w:tcPr>
          <w:p>
            <w:pPr>
              <w:spacing w:line="240" w:lineRule="exact"/>
              <w:jc w:val="center"/>
              <w:rPr>
                <w:rFonts w:hint="eastAsia" w:ascii="仿宋_GB2312" w:hAnsi="仿宋_GB2312" w:eastAsia="仿宋_GB2312" w:cs="仿宋_GB2312"/>
                <w:color w:val="000000"/>
                <w:kern w:val="0"/>
                <w:sz w:val="18"/>
                <w:szCs w:val="18"/>
              </w:rPr>
            </w:pPr>
          </w:p>
        </w:tc>
        <w:tc>
          <w:tcPr>
            <w:tcW w:w="500" w:type="dxa"/>
            <w:vMerge w:val="continue"/>
            <w:vAlign w:val="center"/>
          </w:tcPr>
          <w:p>
            <w:pPr>
              <w:spacing w:line="240" w:lineRule="exact"/>
              <w:rPr>
                <w:rFonts w:hint="eastAsia" w:ascii="仿宋_GB2312" w:hAnsi="仿宋_GB2312" w:eastAsia="仿宋_GB2312" w:cs="仿宋_GB2312"/>
                <w:color w:val="000000"/>
                <w:kern w:val="0"/>
                <w:sz w:val="18"/>
                <w:szCs w:val="18"/>
              </w:rPr>
            </w:pP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根据团委要求上报“五绿共创”绿色校园工作总结，做到有图片、有记录、有宣传。</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429" w:type="dxa"/>
            <w:vAlign w:val="center"/>
          </w:tcPr>
          <w:p>
            <w:pPr>
              <w:tabs>
                <w:tab w:val="left" w:pos="12240"/>
              </w:tabs>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restart"/>
            <w:vAlign w:val="center"/>
          </w:tcPr>
          <w:p>
            <w:pPr>
              <w:spacing w:line="24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创新创业</w:t>
            </w:r>
          </w:p>
        </w:tc>
        <w:tc>
          <w:tcPr>
            <w:tcW w:w="500" w:type="dxa"/>
            <w:vMerge w:val="restart"/>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20</w:t>
            </w: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每学期开展“和山青年论坛”不少于1场。</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w:t>
            </w:r>
          </w:p>
        </w:tc>
        <w:tc>
          <w:tcPr>
            <w:tcW w:w="429" w:type="dxa"/>
            <w:vAlign w:val="center"/>
          </w:tcPr>
          <w:p>
            <w:pPr>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continue"/>
            <w:vAlign w:val="center"/>
          </w:tcPr>
          <w:p>
            <w:pPr>
              <w:spacing w:line="240" w:lineRule="exact"/>
              <w:jc w:val="center"/>
              <w:rPr>
                <w:rFonts w:hint="eastAsia" w:ascii="仿宋_GB2312" w:hAnsi="仿宋_GB2312" w:eastAsia="仿宋_GB2312" w:cs="仿宋_GB2312"/>
                <w:color w:val="000000"/>
                <w:kern w:val="0"/>
                <w:sz w:val="18"/>
                <w:szCs w:val="18"/>
              </w:rPr>
            </w:pPr>
          </w:p>
        </w:tc>
        <w:tc>
          <w:tcPr>
            <w:tcW w:w="500" w:type="dxa"/>
            <w:vMerge w:val="continue"/>
            <w:vAlign w:val="center"/>
          </w:tcPr>
          <w:p>
            <w:pPr>
              <w:spacing w:line="240" w:lineRule="exact"/>
              <w:rPr>
                <w:rFonts w:hint="eastAsia" w:ascii="仿宋_GB2312" w:hAnsi="仿宋_GB2312" w:eastAsia="仿宋_GB2312" w:cs="仿宋_GB2312"/>
                <w:color w:val="000000"/>
                <w:kern w:val="0"/>
                <w:sz w:val="18"/>
                <w:szCs w:val="18"/>
              </w:rPr>
            </w:pP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积极做好“挑战杯”的申报和结题工作，参赛数不少于规定指标数。</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w:t>
            </w:r>
          </w:p>
        </w:tc>
        <w:tc>
          <w:tcPr>
            <w:tcW w:w="429" w:type="dxa"/>
            <w:vAlign w:val="center"/>
          </w:tcPr>
          <w:p>
            <w:pPr>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continue"/>
            <w:vAlign w:val="center"/>
          </w:tcPr>
          <w:p>
            <w:pPr>
              <w:spacing w:line="240" w:lineRule="exact"/>
              <w:jc w:val="center"/>
              <w:rPr>
                <w:rFonts w:hint="eastAsia" w:ascii="仿宋_GB2312" w:hAnsi="仿宋_GB2312" w:eastAsia="仿宋_GB2312" w:cs="仿宋_GB2312"/>
                <w:color w:val="000000"/>
                <w:kern w:val="0"/>
                <w:sz w:val="18"/>
                <w:szCs w:val="18"/>
              </w:rPr>
            </w:pPr>
          </w:p>
        </w:tc>
        <w:tc>
          <w:tcPr>
            <w:tcW w:w="500" w:type="dxa"/>
            <w:vMerge w:val="continue"/>
            <w:vAlign w:val="center"/>
          </w:tcPr>
          <w:p>
            <w:pPr>
              <w:spacing w:line="240" w:lineRule="exact"/>
              <w:rPr>
                <w:rFonts w:hint="eastAsia" w:ascii="仿宋_GB2312" w:hAnsi="仿宋_GB2312" w:eastAsia="仿宋_GB2312" w:cs="仿宋_GB2312"/>
                <w:color w:val="000000"/>
                <w:kern w:val="0"/>
                <w:sz w:val="18"/>
                <w:szCs w:val="18"/>
              </w:rPr>
            </w:pP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积极做好“新苗人才计划”的申报和结题工作，申报数不少于规定指标数。</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w:t>
            </w:r>
          </w:p>
        </w:tc>
        <w:tc>
          <w:tcPr>
            <w:tcW w:w="429" w:type="dxa"/>
            <w:vAlign w:val="center"/>
          </w:tcPr>
          <w:p>
            <w:pPr>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continue"/>
            <w:vAlign w:val="center"/>
          </w:tcPr>
          <w:p>
            <w:pPr>
              <w:spacing w:line="240" w:lineRule="exact"/>
              <w:jc w:val="center"/>
              <w:rPr>
                <w:rFonts w:hint="eastAsia" w:ascii="仿宋_GB2312" w:hAnsi="仿宋_GB2312" w:eastAsia="仿宋_GB2312" w:cs="仿宋_GB2312"/>
                <w:color w:val="000000"/>
                <w:kern w:val="0"/>
                <w:sz w:val="18"/>
                <w:szCs w:val="18"/>
              </w:rPr>
            </w:pPr>
          </w:p>
        </w:tc>
        <w:tc>
          <w:tcPr>
            <w:tcW w:w="500" w:type="dxa"/>
            <w:vMerge w:val="continue"/>
            <w:vAlign w:val="center"/>
          </w:tcPr>
          <w:p>
            <w:pPr>
              <w:spacing w:line="240" w:lineRule="exact"/>
              <w:rPr>
                <w:rFonts w:hint="eastAsia" w:ascii="仿宋_GB2312" w:hAnsi="仿宋_GB2312" w:eastAsia="仿宋_GB2312" w:cs="仿宋_GB2312"/>
                <w:color w:val="000000"/>
                <w:kern w:val="0"/>
                <w:sz w:val="18"/>
                <w:szCs w:val="18"/>
              </w:rPr>
            </w:pP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积极做好“春萌计划”的申报和结题工作，申报数不少于规定指标数。</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w:t>
            </w:r>
          </w:p>
        </w:tc>
        <w:tc>
          <w:tcPr>
            <w:tcW w:w="429" w:type="dxa"/>
            <w:vAlign w:val="center"/>
          </w:tcPr>
          <w:p>
            <w:pPr>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continue"/>
            <w:vAlign w:val="center"/>
          </w:tcPr>
          <w:p>
            <w:pPr>
              <w:spacing w:line="240" w:lineRule="exact"/>
              <w:jc w:val="center"/>
              <w:rPr>
                <w:rFonts w:hint="eastAsia" w:ascii="仿宋_GB2312" w:hAnsi="仿宋_GB2312" w:eastAsia="仿宋_GB2312" w:cs="仿宋_GB2312"/>
                <w:color w:val="000000"/>
                <w:kern w:val="0"/>
                <w:sz w:val="18"/>
                <w:szCs w:val="18"/>
              </w:rPr>
            </w:pPr>
          </w:p>
        </w:tc>
        <w:tc>
          <w:tcPr>
            <w:tcW w:w="500" w:type="dxa"/>
            <w:vMerge w:val="continue"/>
            <w:vAlign w:val="center"/>
          </w:tcPr>
          <w:p>
            <w:pPr>
              <w:spacing w:line="240" w:lineRule="exact"/>
              <w:rPr>
                <w:rFonts w:hint="eastAsia" w:ascii="仿宋_GB2312" w:hAnsi="仿宋_GB2312" w:eastAsia="仿宋_GB2312" w:cs="仿宋_GB2312"/>
                <w:color w:val="000000"/>
                <w:kern w:val="0"/>
                <w:sz w:val="18"/>
                <w:szCs w:val="18"/>
              </w:rPr>
            </w:pPr>
          </w:p>
        </w:tc>
        <w:tc>
          <w:tcPr>
            <w:tcW w:w="8574" w:type="dxa"/>
            <w:gridSpan w:val="3"/>
            <w:vAlign w:val="center"/>
          </w:tcPr>
          <w:p>
            <w:pPr>
              <w:spacing w:line="240" w:lineRule="exact"/>
              <w:rPr>
                <w:rFonts w:hint="eastAsia" w:ascii="仿宋" w:hAnsi="仿宋" w:eastAsia="仿宋"/>
                <w:color w:val="000000"/>
                <w:spacing w:val="-6"/>
                <w:sz w:val="18"/>
                <w:szCs w:val="18"/>
              </w:rPr>
            </w:pPr>
            <w:r>
              <w:rPr>
                <w:rFonts w:hint="eastAsia" w:ascii="仿宋_GB2312" w:hAnsi="仿宋_GB2312" w:eastAsia="仿宋_GB2312" w:cs="仿宋_GB2312"/>
                <w:color w:val="000000"/>
                <w:kern w:val="0"/>
                <w:sz w:val="18"/>
                <w:szCs w:val="18"/>
              </w:rPr>
              <w:t>备注说明：“挑战杯”和新苗人才计划，机械学院、电气学院、信息学院、建工学院、生化/轻工学院、经管学院指标数为6项，其他学院3项；“春萌计划”，机械学院、电气学院、信息学院、建工学院、生化/轻工学院、经管学院为10项，其他学院为5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restart"/>
            <w:vAlign w:val="center"/>
          </w:tcPr>
          <w:p>
            <w:pPr>
              <w:spacing w:line="24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社会实践</w:t>
            </w:r>
          </w:p>
        </w:tc>
        <w:tc>
          <w:tcPr>
            <w:tcW w:w="500" w:type="dxa"/>
            <w:vMerge w:val="restart"/>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w:t>
            </w: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完成暑期社会实践，做好重点团队组建工作，无安全事故发生。</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w:t>
            </w:r>
          </w:p>
        </w:tc>
        <w:tc>
          <w:tcPr>
            <w:tcW w:w="429" w:type="dxa"/>
            <w:vAlign w:val="center"/>
          </w:tcPr>
          <w:p>
            <w:pPr>
              <w:tabs>
                <w:tab w:val="left" w:pos="12240"/>
              </w:tabs>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continue"/>
            <w:vAlign w:val="center"/>
          </w:tcPr>
          <w:p>
            <w:pPr>
              <w:spacing w:line="240" w:lineRule="exact"/>
              <w:jc w:val="center"/>
              <w:rPr>
                <w:rFonts w:hint="eastAsia" w:ascii="仿宋_GB2312" w:hAnsi="仿宋_GB2312" w:eastAsia="仿宋_GB2312" w:cs="仿宋_GB2312"/>
                <w:color w:val="000000"/>
                <w:kern w:val="0"/>
                <w:sz w:val="18"/>
                <w:szCs w:val="18"/>
              </w:rPr>
            </w:pPr>
          </w:p>
        </w:tc>
        <w:tc>
          <w:tcPr>
            <w:tcW w:w="500" w:type="dxa"/>
            <w:vMerge w:val="continue"/>
            <w:vAlign w:val="center"/>
          </w:tcPr>
          <w:p>
            <w:pPr>
              <w:spacing w:line="240" w:lineRule="exact"/>
              <w:rPr>
                <w:rFonts w:hint="eastAsia" w:ascii="仿宋_GB2312" w:hAnsi="仿宋_GB2312" w:eastAsia="仿宋_GB2312" w:cs="仿宋_GB2312"/>
                <w:color w:val="000000"/>
                <w:kern w:val="0"/>
                <w:sz w:val="18"/>
                <w:szCs w:val="18"/>
              </w:rPr>
            </w:pP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组织团队开展暑期社会实践活动，宣传到位，及时上交总结材料。</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w:t>
            </w:r>
          </w:p>
        </w:tc>
        <w:tc>
          <w:tcPr>
            <w:tcW w:w="429" w:type="dxa"/>
            <w:vAlign w:val="center"/>
          </w:tcPr>
          <w:p>
            <w:pPr>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restart"/>
            <w:vAlign w:val="center"/>
          </w:tcPr>
          <w:p>
            <w:pPr>
              <w:spacing w:line="24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志愿服务</w:t>
            </w:r>
          </w:p>
        </w:tc>
        <w:tc>
          <w:tcPr>
            <w:tcW w:w="500" w:type="dxa"/>
            <w:vMerge w:val="restart"/>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w:t>
            </w: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积极参与“百时奉献”志愿服务工程，志愿服务学生人数占学院大二、大三学生数的30%，志愿服务对接项目不少于1项。</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w:t>
            </w:r>
          </w:p>
        </w:tc>
        <w:tc>
          <w:tcPr>
            <w:tcW w:w="429" w:type="dxa"/>
            <w:vAlign w:val="center"/>
          </w:tcPr>
          <w:p>
            <w:pPr>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continue"/>
            <w:vAlign w:val="center"/>
          </w:tcPr>
          <w:p>
            <w:pPr>
              <w:spacing w:line="240" w:lineRule="exact"/>
              <w:jc w:val="center"/>
              <w:rPr>
                <w:rFonts w:hint="eastAsia" w:ascii="仿宋_GB2312" w:hAnsi="仿宋_GB2312" w:eastAsia="仿宋_GB2312" w:cs="仿宋_GB2312"/>
                <w:color w:val="000000"/>
                <w:kern w:val="0"/>
                <w:sz w:val="18"/>
                <w:szCs w:val="18"/>
              </w:rPr>
            </w:pPr>
          </w:p>
        </w:tc>
        <w:tc>
          <w:tcPr>
            <w:tcW w:w="500" w:type="dxa"/>
            <w:vMerge w:val="continue"/>
            <w:vAlign w:val="center"/>
          </w:tcPr>
          <w:p>
            <w:pPr>
              <w:spacing w:line="240" w:lineRule="exact"/>
              <w:rPr>
                <w:rFonts w:hint="eastAsia" w:ascii="仿宋_GB2312" w:hAnsi="仿宋_GB2312" w:eastAsia="仿宋_GB2312" w:cs="仿宋_GB2312"/>
                <w:color w:val="000000"/>
                <w:kern w:val="0"/>
                <w:sz w:val="18"/>
                <w:szCs w:val="18"/>
              </w:rPr>
            </w:pP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网络文明志愿者队伍中志愿者人数不低于（学院大二至大四）总数的10%。</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429" w:type="dxa"/>
            <w:vAlign w:val="center"/>
          </w:tcPr>
          <w:p>
            <w:pPr>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jc w:val="center"/>
        </w:trPr>
        <w:tc>
          <w:tcPr>
            <w:tcW w:w="752" w:type="dxa"/>
            <w:vMerge w:val="continue"/>
            <w:vAlign w:val="center"/>
          </w:tcPr>
          <w:p>
            <w:pPr>
              <w:spacing w:line="240" w:lineRule="exact"/>
              <w:jc w:val="center"/>
              <w:rPr>
                <w:rFonts w:hint="eastAsia" w:ascii="仿宋_GB2312" w:hAnsi="仿宋_GB2312" w:eastAsia="仿宋_GB2312" w:cs="仿宋_GB2312"/>
                <w:color w:val="000000"/>
                <w:kern w:val="0"/>
                <w:sz w:val="18"/>
                <w:szCs w:val="18"/>
              </w:rPr>
            </w:pPr>
          </w:p>
        </w:tc>
        <w:tc>
          <w:tcPr>
            <w:tcW w:w="500" w:type="dxa"/>
            <w:vMerge w:val="continue"/>
            <w:vAlign w:val="center"/>
          </w:tcPr>
          <w:p>
            <w:pPr>
              <w:spacing w:line="240" w:lineRule="exact"/>
              <w:rPr>
                <w:rFonts w:hint="eastAsia" w:ascii="仿宋_GB2312" w:hAnsi="仿宋_GB2312" w:eastAsia="仿宋_GB2312" w:cs="仿宋_GB2312"/>
                <w:color w:val="000000"/>
                <w:kern w:val="0"/>
                <w:sz w:val="18"/>
                <w:szCs w:val="18"/>
              </w:rPr>
            </w:pP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实际到岗两项计划志愿者（含西部、欠发达地区）较多。</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429" w:type="dxa"/>
            <w:vAlign w:val="center"/>
          </w:tcPr>
          <w:p>
            <w:pPr>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restart"/>
            <w:vAlign w:val="center"/>
          </w:tcPr>
          <w:p>
            <w:pPr>
              <w:spacing w:line="24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信息工作</w:t>
            </w:r>
          </w:p>
        </w:tc>
        <w:tc>
          <w:tcPr>
            <w:tcW w:w="500" w:type="dxa"/>
            <w:vMerge w:val="restart"/>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20</w:t>
            </w: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团委网站录用学院报送信息每季度不少于6次。</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w:t>
            </w:r>
          </w:p>
        </w:tc>
        <w:tc>
          <w:tcPr>
            <w:tcW w:w="429" w:type="dxa"/>
            <w:vAlign w:val="center"/>
          </w:tcPr>
          <w:p>
            <w:pPr>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continue"/>
            <w:vAlign w:val="center"/>
          </w:tcPr>
          <w:p>
            <w:pPr>
              <w:spacing w:line="240" w:lineRule="exact"/>
              <w:jc w:val="center"/>
              <w:rPr>
                <w:rFonts w:hint="eastAsia" w:ascii="仿宋_GB2312" w:hAnsi="仿宋_GB2312" w:eastAsia="仿宋_GB2312" w:cs="仿宋_GB2312"/>
                <w:color w:val="000000"/>
                <w:kern w:val="0"/>
                <w:sz w:val="18"/>
                <w:szCs w:val="18"/>
              </w:rPr>
            </w:pPr>
          </w:p>
        </w:tc>
        <w:tc>
          <w:tcPr>
            <w:tcW w:w="500" w:type="dxa"/>
            <w:vMerge w:val="continue"/>
            <w:vAlign w:val="center"/>
          </w:tcPr>
          <w:p>
            <w:pPr>
              <w:spacing w:line="240" w:lineRule="exact"/>
              <w:rPr>
                <w:rFonts w:hint="eastAsia" w:ascii="仿宋_GB2312" w:hAnsi="仿宋_GB2312" w:eastAsia="仿宋_GB2312" w:cs="仿宋_GB2312"/>
                <w:color w:val="000000"/>
                <w:kern w:val="0"/>
                <w:sz w:val="18"/>
                <w:szCs w:val="18"/>
              </w:rPr>
            </w:pP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报送团省委网站、刊物等信息每季度不少于1次。</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429" w:type="dxa"/>
            <w:vAlign w:val="center"/>
          </w:tcPr>
          <w:p>
            <w:pPr>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continue"/>
            <w:vAlign w:val="center"/>
          </w:tcPr>
          <w:p>
            <w:pPr>
              <w:spacing w:line="240" w:lineRule="exact"/>
              <w:jc w:val="center"/>
              <w:rPr>
                <w:rFonts w:hint="eastAsia" w:ascii="仿宋_GB2312" w:hAnsi="仿宋_GB2312" w:eastAsia="仿宋_GB2312" w:cs="仿宋_GB2312"/>
                <w:color w:val="000000"/>
                <w:kern w:val="0"/>
                <w:sz w:val="18"/>
                <w:szCs w:val="18"/>
              </w:rPr>
            </w:pPr>
          </w:p>
        </w:tc>
        <w:tc>
          <w:tcPr>
            <w:tcW w:w="500" w:type="dxa"/>
            <w:vMerge w:val="continue"/>
            <w:vAlign w:val="center"/>
          </w:tcPr>
          <w:p>
            <w:pPr>
              <w:spacing w:line="240" w:lineRule="exact"/>
              <w:rPr>
                <w:rFonts w:hint="eastAsia" w:ascii="仿宋_GB2312" w:hAnsi="仿宋_GB2312" w:eastAsia="仿宋_GB2312" w:cs="仿宋_GB2312"/>
                <w:color w:val="000000"/>
                <w:kern w:val="0"/>
                <w:sz w:val="18"/>
                <w:szCs w:val="18"/>
              </w:rPr>
            </w:pP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网络宣传队伍中网宣员、微记者的人数不低于（学院大二至大四）总数的2%，积极做到集中发声活动，做到覆盖广，动员快，战斗力强。</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w:t>
            </w:r>
          </w:p>
        </w:tc>
        <w:tc>
          <w:tcPr>
            <w:tcW w:w="429" w:type="dxa"/>
            <w:vAlign w:val="center"/>
          </w:tcPr>
          <w:p>
            <w:pPr>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continue"/>
            <w:vAlign w:val="center"/>
          </w:tcPr>
          <w:p>
            <w:pPr>
              <w:spacing w:line="240" w:lineRule="exact"/>
              <w:jc w:val="center"/>
              <w:rPr>
                <w:rFonts w:hint="eastAsia" w:ascii="仿宋_GB2312" w:hAnsi="仿宋_GB2312" w:eastAsia="仿宋_GB2312" w:cs="仿宋_GB2312"/>
                <w:color w:val="000000"/>
                <w:kern w:val="0"/>
                <w:sz w:val="18"/>
                <w:szCs w:val="18"/>
              </w:rPr>
            </w:pPr>
          </w:p>
        </w:tc>
        <w:tc>
          <w:tcPr>
            <w:tcW w:w="500" w:type="dxa"/>
            <w:vMerge w:val="continue"/>
            <w:vAlign w:val="center"/>
          </w:tcPr>
          <w:p>
            <w:pPr>
              <w:spacing w:line="240" w:lineRule="exact"/>
              <w:rPr>
                <w:rFonts w:hint="eastAsia" w:ascii="仿宋_GB2312" w:hAnsi="仿宋_GB2312" w:eastAsia="仿宋_GB2312" w:cs="仿宋_GB2312"/>
                <w:color w:val="000000"/>
                <w:kern w:val="0"/>
                <w:sz w:val="18"/>
                <w:szCs w:val="18"/>
              </w:rPr>
            </w:pP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建立健全分团委、团支部、团员青年三级新媒体工作体系，开设官方微博、微信比例较高，每学期组织不少于1次线上活动。</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w:t>
            </w:r>
          </w:p>
        </w:tc>
        <w:tc>
          <w:tcPr>
            <w:tcW w:w="429" w:type="dxa"/>
            <w:vAlign w:val="center"/>
          </w:tcPr>
          <w:p>
            <w:pPr>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continue"/>
            <w:vAlign w:val="center"/>
          </w:tcPr>
          <w:p>
            <w:pPr>
              <w:spacing w:line="240" w:lineRule="exact"/>
              <w:jc w:val="center"/>
              <w:rPr>
                <w:rFonts w:hint="eastAsia" w:ascii="仿宋_GB2312" w:hAnsi="仿宋_GB2312" w:eastAsia="仿宋_GB2312" w:cs="仿宋_GB2312"/>
                <w:color w:val="000000"/>
                <w:kern w:val="0"/>
                <w:sz w:val="18"/>
                <w:szCs w:val="18"/>
              </w:rPr>
            </w:pPr>
          </w:p>
        </w:tc>
        <w:tc>
          <w:tcPr>
            <w:tcW w:w="500" w:type="dxa"/>
            <w:vMerge w:val="continue"/>
            <w:vAlign w:val="center"/>
          </w:tcPr>
          <w:p>
            <w:pPr>
              <w:spacing w:line="240" w:lineRule="exact"/>
              <w:rPr>
                <w:rFonts w:hint="eastAsia" w:ascii="仿宋_GB2312" w:hAnsi="仿宋_GB2312" w:eastAsia="仿宋_GB2312" w:cs="仿宋_GB2312"/>
                <w:color w:val="000000"/>
                <w:kern w:val="0"/>
                <w:sz w:val="18"/>
                <w:szCs w:val="18"/>
              </w:rPr>
            </w:pP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通过浙科院和山青年微信平台，每年</w:t>
            </w:r>
            <w:r>
              <w:rPr>
                <w:rFonts w:ascii="仿宋_GB2312" w:hAnsi="仿宋_GB2312" w:eastAsia="仿宋_GB2312" w:cs="仿宋_GB2312"/>
                <w:color w:val="000000"/>
                <w:kern w:val="0"/>
                <w:sz w:val="18"/>
                <w:szCs w:val="18"/>
              </w:rPr>
              <w:t>开展网络引导主题活动不少于1次</w:t>
            </w:r>
            <w:r>
              <w:rPr>
                <w:rFonts w:hint="eastAsia" w:ascii="仿宋_GB2312" w:hAnsi="仿宋_GB2312" w:eastAsia="仿宋_GB2312" w:cs="仿宋_GB2312"/>
                <w:color w:val="000000"/>
                <w:kern w:val="0"/>
                <w:sz w:val="18"/>
                <w:szCs w:val="18"/>
              </w:rPr>
              <w:t>。</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w:t>
            </w:r>
          </w:p>
        </w:tc>
        <w:tc>
          <w:tcPr>
            <w:tcW w:w="429" w:type="dxa"/>
            <w:vAlign w:val="center"/>
          </w:tcPr>
          <w:p>
            <w:pPr>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752" w:type="dxa"/>
            <w:vMerge w:val="restart"/>
            <w:vAlign w:val="center"/>
          </w:tcPr>
          <w:p>
            <w:pPr>
              <w:spacing w:line="24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日常工作</w:t>
            </w:r>
          </w:p>
        </w:tc>
        <w:tc>
          <w:tcPr>
            <w:tcW w:w="500" w:type="dxa"/>
            <w:vMerge w:val="restart"/>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w:t>
            </w: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按时完成团委布置的各种报表、台帐、总结材料等各项日常工作的上报，以及有关项目、活动、人员等推荐工作。</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w:t>
            </w:r>
          </w:p>
        </w:tc>
        <w:tc>
          <w:tcPr>
            <w:tcW w:w="429" w:type="dxa"/>
            <w:vAlign w:val="center"/>
          </w:tcPr>
          <w:p>
            <w:pPr>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752" w:type="dxa"/>
            <w:vMerge w:val="continue"/>
            <w:vAlign w:val="center"/>
          </w:tcPr>
          <w:p>
            <w:pPr>
              <w:spacing w:line="240" w:lineRule="exact"/>
              <w:jc w:val="center"/>
              <w:rPr>
                <w:rFonts w:hint="eastAsia" w:ascii="仿宋_GB2312" w:hAnsi="仿宋_GB2312" w:eastAsia="仿宋_GB2312" w:cs="仿宋_GB2312"/>
                <w:color w:val="000000"/>
                <w:kern w:val="0"/>
                <w:sz w:val="18"/>
                <w:szCs w:val="18"/>
              </w:rPr>
            </w:pPr>
          </w:p>
        </w:tc>
        <w:tc>
          <w:tcPr>
            <w:tcW w:w="500" w:type="dxa"/>
            <w:vMerge w:val="continue"/>
            <w:vAlign w:val="center"/>
          </w:tcPr>
          <w:p>
            <w:pPr>
              <w:spacing w:line="240" w:lineRule="exact"/>
              <w:rPr>
                <w:rFonts w:hint="eastAsia" w:ascii="仿宋_GB2312" w:hAnsi="仿宋_GB2312" w:eastAsia="仿宋_GB2312" w:cs="仿宋_GB2312"/>
                <w:color w:val="000000"/>
                <w:kern w:val="0"/>
                <w:sz w:val="18"/>
                <w:szCs w:val="18"/>
              </w:rPr>
            </w:pP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按时出席校团委要求的有关会议和活动（缺席一次扣1分，累计不超过5分）。</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w:t>
            </w:r>
          </w:p>
        </w:tc>
        <w:tc>
          <w:tcPr>
            <w:tcW w:w="429" w:type="dxa"/>
            <w:vAlign w:val="center"/>
          </w:tcPr>
          <w:p>
            <w:pPr>
              <w:spacing w:line="240" w:lineRule="exact"/>
              <w:rPr>
                <w:rFonts w:hint="eastAsia" w:ascii="仿宋" w:hAnsi="仿宋" w:eastAsia="仿宋"/>
                <w:color w:val="000000"/>
                <w:spacing w:val="-6"/>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restart"/>
            <w:vAlign w:val="center"/>
          </w:tcPr>
          <w:p>
            <w:pPr>
              <w:spacing w:line="240" w:lineRule="exact"/>
              <w:jc w:val="center"/>
              <w:rPr>
                <w:rFonts w:hint="eastAsia" w:ascii="仿宋_GB2312" w:hAnsi="仿宋_GB2312" w:eastAsia="仿宋_GB2312" w:cs="仿宋_GB2312"/>
                <w:color w:val="3366FF"/>
                <w:kern w:val="0"/>
                <w:sz w:val="18"/>
                <w:szCs w:val="18"/>
              </w:rPr>
            </w:pPr>
            <w:r>
              <w:rPr>
                <w:rFonts w:hint="eastAsia" w:ascii="仿宋_GB2312" w:hAnsi="仿宋_GB2312" w:eastAsia="仿宋_GB2312" w:cs="仿宋_GB2312"/>
                <w:color w:val="000000"/>
                <w:kern w:val="0"/>
                <w:sz w:val="18"/>
                <w:szCs w:val="18"/>
              </w:rPr>
              <w:t>附加分</w:t>
            </w:r>
          </w:p>
        </w:tc>
        <w:tc>
          <w:tcPr>
            <w:tcW w:w="500" w:type="dxa"/>
            <w:vMerge w:val="restart"/>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20</w:t>
            </w: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二级学院特色活动立项及开展情况（需提前申报，事后总结）。</w:t>
            </w:r>
          </w:p>
        </w:tc>
        <w:tc>
          <w:tcPr>
            <w:tcW w:w="714" w:type="dxa"/>
            <w:vAlign w:val="top"/>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429" w:type="dxa"/>
            <w:vAlign w:val="center"/>
          </w:tcPr>
          <w:p>
            <w:pPr>
              <w:spacing w:line="240" w:lineRule="exact"/>
              <w:rPr>
                <w:rFonts w:hint="eastAsia" w:ascii="仿宋_GB2312" w:hAnsi="仿宋_GB2312" w:eastAsia="仿宋_GB2312" w:cs="仿宋_GB2312"/>
                <w:color w:val="3366FF"/>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752" w:type="dxa"/>
            <w:vMerge w:val="continue"/>
            <w:vAlign w:val="top"/>
          </w:tcPr>
          <w:p>
            <w:pPr>
              <w:spacing w:line="240" w:lineRule="exact"/>
              <w:rPr>
                <w:rFonts w:hint="eastAsia" w:ascii="仿宋_GB2312" w:hAnsi="仿宋_GB2312" w:eastAsia="仿宋_GB2312" w:cs="仿宋_GB2312"/>
                <w:color w:val="3366FF"/>
                <w:kern w:val="0"/>
                <w:sz w:val="18"/>
                <w:szCs w:val="18"/>
              </w:rPr>
            </w:pPr>
          </w:p>
        </w:tc>
        <w:tc>
          <w:tcPr>
            <w:tcW w:w="500" w:type="dxa"/>
            <w:vMerge w:val="continue"/>
            <w:vAlign w:val="top"/>
          </w:tcPr>
          <w:p>
            <w:pPr>
              <w:spacing w:line="240" w:lineRule="exact"/>
              <w:rPr>
                <w:rFonts w:hint="eastAsia" w:ascii="仿宋_GB2312" w:hAnsi="仿宋_GB2312" w:eastAsia="仿宋_GB2312" w:cs="仿宋_GB2312"/>
                <w:color w:val="000000"/>
                <w:kern w:val="0"/>
                <w:sz w:val="18"/>
                <w:szCs w:val="18"/>
              </w:rPr>
            </w:pP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承办校级大型活动、赛事（团系统内的大型活动或者赛事），每次加1-3分，最多加7分。</w:t>
            </w:r>
          </w:p>
        </w:tc>
        <w:tc>
          <w:tcPr>
            <w:tcW w:w="714"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w:t>
            </w:r>
          </w:p>
        </w:tc>
        <w:tc>
          <w:tcPr>
            <w:tcW w:w="429" w:type="dxa"/>
            <w:vAlign w:val="center"/>
          </w:tcPr>
          <w:p>
            <w:pPr>
              <w:spacing w:line="240" w:lineRule="exact"/>
              <w:rPr>
                <w:rFonts w:hint="eastAsia" w:ascii="仿宋_GB2312" w:hAnsi="仿宋_GB2312" w:eastAsia="仿宋_GB2312" w:cs="仿宋_GB2312"/>
                <w:color w:val="3366FF"/>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69" w:hRule="atLeast"/>
          <w:jc w:val="center"/>
        </w:trPr>
        <w:tc>
          <w:tcPr>
            <w:tcW w:w="752" w:type="dxa"/>
            <w:vMerge w:val="continue"/>
            <w:vAlign w:val="top"/>
          </w:tcPr>
          <w:p>
            <w:pPr>
              <w:spacing w:line="240" w:lineRule="exact"/>
              <w:rPr>
                <w:rFonts w:hint="eastAsia" w:ascii="仿宋_GB2312" w:hAnsi="仿宋_GB2312" w:eastAsia="仿宋_GB2312" w:cs="仿宋_GB2312"/>
                <w:color w:val="3366FF"/>
                <w:kern w:val="0"/>
                <w:sz w:val="18"/>
                <w:szCs w:val="18"/>
              </w:rPr>
            </w:pPr>
          </w:p>
        </w:tc>
        <w:tc>
          <w:tcPr>
            <w:tcW w:w="500" w:type="dxa"/>
            <w:vMerge w:val="continue"/>
            <w:vAlign w:val="top"/>
          </w:tcPr>
          <w:p>
            <w:pPr>
              <w:spacing w:line="240" w:lineRule="exact"/>
              <w:rPr>
                <w:rFonts w:hint="eastAsia" w:ascii="仿宋_GB2312" w:hAnsi="仿宋_GB2312" w:eastAsia="仿宋_GB2312" w:cs="仿宋_GB2312"/>
                <w:color w:val="3366FF"/>
                <w:kern w:val="0"/>
                <w:sz w:val="18"/>
                <w:szCs w:val="18"/>
              </w:rPr>
            </w:pPr>
          </w:p>
        </w:tc>
        <w:tc>
          <w:tcPr>
            <w:tcW w:w="7431" w:type="dxa"/>
            <w:vAlign w:val="center"/>
          </w:tcPr>
          <w:p>
            <w:pPr>
              <w:spacing w:line="240" w:lineRule="exac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在团内省级以上评比、比赛中获奖；校内获优秀组织奖。（最高限加10分）备注说明：在团内省级以上竞争性评比、比赛中获奖，省级个人加2分/人，省级集体或者团队加4分/项；国家级个人加4分/人，国家级集体或者团队加8分/项；校级优秀组织奖加1分/项。</w:t>
            </w:r>
          </w:p>
          <w:p>
            <w:pPr>
              <w:spacing w:line="240" w:lineRule="exact"/>
              <w:rPr>
                <w:rFonts w:hint="eastAsia" w:ascii="仿宋_GB2312" w:hAnsi="仿宋_GB2312" w:eastAsia="仿宋_GB2312" w:cs="仿宋_GB2312"/>
                <w:color w:val="000000"/>
                <w:kern w:val="0"/>
                <w:sz w:val="18"/>
                <w:szCs w:val="18"/>
                <w:lang w:val="zh-CN"/>
              </w:rPr>
            </w:pPr>
            <w:r>
              <w:rPr>
                <w:rFonts w:hint="eastAsia" w:ascii="仿宋_GB2312" w:hAnsi="仿宋_GB2312" w:eastAsia="仿宋_GB2312" w:cs="仿宋_GB2312"/>
                <w:color w:val="000000"/>
                <w:kern w:val="0"/>
                <w:sz w:val="18"/>
                <w:szCs w:val="18"/>
                <w:lang w:val="zh-CN"/>
              </w:rPr>
              <w:t>“挑战杯”比赛加分对象：每个项目参与学生的归属学院均加该项得分，同一学院多人参与不累计加分，同一个项目以最高奖加分。加分标准：国家金奖</w:t>
            </w:r>
            <w:r>
              <w:rPr>
                <w:rFonts w:hint="eastAsia" w:ascii="仿宋_GB2312" w:hAnsi="仿宋_GB2312" w:eastAsia="仿宋_GB2312" w:cs="仿宋_GB2312"/>
                <w:color w:val="000000"/>
                <w:kern w:val="0"/>
                <w:sz w:val="18"/>
                <w:szCs w:val="18"/>
              </w:rPr>
              <w:t>10</w:t>
            </w:r>
            <w:r>
              <w:rPr>
                <w:rFonts w:hint="eastAsia" w:ascii="仿宋_GB2312" w:hAnsi="仿宋_GB2312" w:eastAsia="仿宋_GB2312" w:cs="仿宋_GB2312"/>
                <w:color w:val="000000"/>
                <w:kern w:val="0"/>
                <w:sz w:val="18"/>
                <w:szCs w:val="18"/>
                <w:lang w:val="zh-CN"/>
              </w:rPr>
              <w:t>分，国家银奖8分、国家铜奖和省特等奖4分，省一等奖3分，省二等奖2分，省三等奖1分。</w:t>
            </w:r>
          </w:p>
        </w:tc>
        <w:tc>
          <w:tcPr>
            <w:tcW w:w="714" w:type="dxa"/>
            <w:vAlign w:val="center"/>
          </w:tcPr>
          <w:p>
            <w:pPr>
              <w:spacing w:line="240" w:lineRule="exact"/>
              <w:rPr>
                <w:rFonts w:hint="eastAsia" w:ascii="仿宋_GB2312" w:hAnsi="仿宋_GB2312" w:eastAsia="仿宋_GB2312" w:cs="仿宋_GB2312"/>
                <w:color w:val="3366FF"/>
                <w:kern w:val="0"/>
                <w:sz w:val="18"/>
                <w:szCs w:val="18"/>
              </w:rPr>
            </w:pPr>
            <w:r>
              <w:rPr>
                <w:rFonts w:hint="eastAsia" w:ascii="仿宋_GB2312" w:hAnsi="仿宋_GB2312" w:eastAsia="仿宋_GB2312" w:cs="仿宋_GB2312"/>
                <w:color w:val="000000"/>
                <w:kern w:val="0"/>
                <w:sz w:val="18"/>
                <w:szCs w:val="18"/>
              </w:rPr>
              <w:t>10</w:t>
            </w:r>
          </w:p>
        </w:tc>
        <w:tc>
          <w:tcPr>
            <w:tcW w:w="429" w:type="dxa"/>
            <w:vAlign w:val="center"/>
          </w:tcPr>
          <w:p>
            <w:pPr>
              <w:spacing w:line="240" w:lineRule="exact"/>
              <w:rPr>
                <w:rFonts w:hint="eastAsia" w:ascii="仿宋_GB2312" w:hAnsi="仿宋_GB2312" w:eastAsia="仿宋_GB2312" w:cs="仿宋_GB2312"/>
                <w:color w:val="3366FF"/>
                <w:kern w:val="0"/>
                <w:sz w:val="18"/>
                <w:szCs w:val="18"/>
              </w:rPr>
            </w:pPr>
          </w:p>
        </w:tc>
      </w:tr>
    </w:tbl>
    <w:p>
      <w:pPr>
        <w:spacing w:line="360" w:lineRule="auto"/>
        <w:ind w:left="-567" w:leftChars="-270" w:right="-567" w:rightChars="-270"/>
        <w:jc w:val="left"/>
        <w:rPr>
          <w:rFonts w:hint="eastAsia" w:ascii="黑体" w:eastAsia="黑体"/>
          <w:szCs w:val="21"/>
        </w:rPr>
      </w:pPr>
      <w:r>
        <w:rPr>
          <w:rFonts w:hint="eastAsia" w:ascii="黑体" w:eastAsia="黑体"/>
          <w:szCs w:val="21"/>
        </w:rPr>
        <w:t>分团委（团工委）盖章：</w:t>
      </w:r>
      <w:r>
        <w:rPr>
          <w:rFonts w:hint="eastAsia" w:ascii="黑体" w:eastAsia="黑体"/>
          <w:szCs w:val="21"/>
          <w:u w:val="single"/>
        </w:rPr>
        <w:t xml:space="preserve">           </w:t>
      </w:r>
      <w:r>
        <w:rPr>
          <w:rFonts w:hint="eastAsia" w:ascii="黑体" w:eastAsia="黑体"/>
          <w:szCs w:val="21"/>
        </w:rPr>
        <w:t xml:space="preserve">                 党委（党工委）盖章：</w:t>
      </w:r>
      <w:r>
        <w:rPr>
          <w:rFonts w:hint="eastAsia" w:ascii="黑体" w:eastAsia="黑体"/>
          <w:szCs w:val="21"/>
          <w:u w:val="single"/>
        </w:rPr>
        <w:t xml:space="preserve">                   </w:t>
      </w:r>
    </w:p>
    <w:p>
      <w:pPr>
        <w:spacing w:line="360" w:lineRule="auto"/>
        <w:ind w:left="-567" w:leftChars="-270" w:right="-567" w:rightChars="-270"/>
        <w:jc w:val="left"/>
        <w:rPr>
          <w:rFonts w:hint="eastAsia" w:ascii="黑体" w:eastAsia="黑体"/>
          <w:szCs w:val="21"/>
        </w:rPr>
      </w:pPr>
      <w:r>
        <w:rPr>
          <w:rFonts w:hint="eastAsia" w:ascii="黑体" w:eastAsia="黑体"/>
          <w:szCs w:val="21"/>
        </w:rPr>
        <w:t>分团委（团工委）书记签字：</w:t>
      </w:r>
      <w:r>
        <w:rPr>
          <w:rFonts w:ascii="黑体" w:eastAsia="黑体"/>
          <w:szCs w:val="21"/>
          <w:u w:val="single"/>
        </w:rPr>
        <w:t xml:space="preserve">   </w:t>
      </w:r>
      <w:r>
        <w:rPr>
          <w:rFonts w:hint="eastAsia" w:ascii="黑体" w:eastAsia="黑体"/>
          <w:szCs w:val="21"/>
          <w:u w:val="single"/>
        </w:rPr>
        <w:t xml:space="preserve">            </w:t>
      </w:r>
      <w:r>
        <w:rPr>
          <w:rFonts w:hint="eastAsia" w:ascii="黑体" w:eastAsia="黑体"/>
          <w:szCs w:val="21"/>
        </w:rPr>
        <w:t xml:space="preserve">         党委（党工委）分管领导签字：</w:t>
      </w:r>
      <w:r>
        <w:rPr>
          <w:rFonts w:ascii="黑体" w:eastAsia="黑体"/>
          <w:szCs w:val="21"/>
          <w:u w:val="single"/>
        </w:rPr>
        <w:t xml:space="preserve"> </w:t>
      </w:r>
      <w:r>
        <w:rPr>
          <w:rFonts w:hint="eastAsia" w:ascii="黑体" w:eastAsia="黑体"/>
          <w:szCs w:val="21"/>
          <w:u w:val="single"/>
        </w:rPr>
        <w:t xml:space="preserve">          </w:t>
      </w:r>
    </w:p>
    <w:p>
      <w:pPr/>
    </w:p>
    <w:sectPr>
      <w:footerReference r:id="rId3" w:type="default"/>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center"/>
    </w:pPr>
    <w:r>
      <w:fldChar w:fldCharType="begin"/>
    </w:r>
    <w:r>
      <w:instrText xml:space="preserve"> PAGE   \* MERGEFORMAT </w:instrText>
    </w:r>
    <w:r>
      <w:fldChar w:fldCharType="separate"/>
    </w:r>
    <w:r>
      <w:rPr>
        <w:lang w:val="zh-CN" w:eastAsia="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D1C27"/>
    <w:rsid w:val="1DCD1C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p0"/>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2015-12-10T08:35:00Z</dcterms:created>
  <dc:creator>lenovo</dc:creator>
  <cp:lastModifiedBy>lenovo</cp:lastModifiedBy>
  <dcterms:modified xsi:type="dcterms:W3CDTF">2015-12-10T08:37:17Z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