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right="0" w:right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-485775</wp:posOffset>
                </wp:positionV>
                <wp:extent cx="857250" cy="45720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70.2pt;margin-top:-38.25pt;height:36pt;width:67.5pt;z-index:251660288;mso-width-relative:page;mso-height-relative:page;" filled="f" stroked="f" coordsize="21600,21600" o:gfxdata="UEsDBAoAAAAAAIdO4kAAAAAAAAAAAAAAAAAEAAAAZHJzL1BLAwQUAAAACACHTuJAn/hnrNkAAAAK&#10;AQAADwAAAGRycy9kb3ducmV2LnhtbE2PO0/DMBSFdyT+g3WR2FLbKElpiNMBCQRDB1oWNjd2k4Af&#10;qe2m6b/nMpXpvo7O+W69nq0hkw5x8E4AXzAg2rVeDa4T8Ll7yR6BxCSdksY7LeCiI6yb25taVsqf&#10;3YeetqkjaOJiJQX0KY0VpbHttZVx4Uft8HbwwcqEY+ioCvKM5tbQB8ZKauXgMKGXo37udfuzPVkB&#10;X++7Y3jjm+O0ai/zZvnKw3dphLi/4+wJSNJzuorhDx/RoUGmvT85FYkRkPGc5ajFblkWQFCSFbjY&#10;Y80LoE1N/7/Q/AJQSwMEFAAAAAgAh07iQNcca6uhAQAALwMAAA4AAABkcnMvZTJvRG9jLnhtbK1S&#10;S04jMRDdj8QdLO9JfyAMaaXDBoFGGg1IwAEct5225J/KJt05DRK7OQTHQVyDsgkhgh1iY1e5fu+9&#10;8vxsNJqsBQTlbEurSUmJsNx1yq5aend7cXhKSYjMdkw7K1q6EYGeLQ5+zQffiNr1TncCCDaxoRl8&#10;S/sYfVMUgffCsDBxXlgMSgeGRXRhVXTABuxudFGX5UkxOOg8OC5CwNfztyBd5P5SCh6vpAwiEt1S&#10;xBbzCflcprNYzFmzAuZ7xbcw2DdQGKYsDt21OmeRkXtQX1oZxcEFJ+OEO1M4KRUXmQOyqcpPbG56&#10;5kXmguIEv5Mp/Fxb/m99DUR1uDtKLDO4opeH/89Pj6RO2gw+NJhy469h6wU0E9FRgkk3UiBj1nOz&#10;01OMkXB8PJ3+rqeoOsfQMdpl1rv4KPYQ4qVwhiSjpYDryiqy9d8QcSCmvqekWdZdKK3zyrQlQ0tn&#10;03qaC3YRrNAWCxPwN6jJiuNy3OJfum6DjPUfiyrOquOjGf6K7CDCCh3Yjyz3I/ce1KpHnFWSJo/A&#10;rWSU2x+U1r7v56yPf754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/4Z6zZAAAACgEAAA8AAAAA&#10;AAAAAQAgAAAAIgAAAGRycy9kb3ducmV2LnhtbFBLAQIUABQAAAAIAIdO4kDXHGuroQEAAC8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年度浙江科技学</w:t>
      </w:r>
      <w:r>
        <w:rPr>
          <w:rFonts w:hint="eastAsia" w:ascii="宋体" w:hAnsi="宋体"/>
          <w:b/>
          <w:sz w:val="36"/>
          <w:szCs w:val="36"/>
          <w:lang w:eastAsia="zh-CN"/>
        </w:rPr>
        <w:t>院</w:t>
      </w:r>
      <w:r>
        <w:rPr>
          <w:rFonts w:hint="eastAsia" w:ascii="宋体" w:hAnsi="宋体"/>
          <w:b/>
          <w:sz w:val="36"/>
          <w:szCs w:val="36"/>
        </w:rPr>
        <w:t>优秀学院学生会评选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right="0" w:right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参评材料相关说明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right="0" w:right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0" w:firstLineChars="0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/>
          <w:b/>
          <w:sz w:val="24"/>
          <w:szCs w:val="24"/>
        </w:rPr>
        <w:t>、优秀学院学生会参评材料格式说明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840" w:right="0" w:rightChars="0" w:hanging="720" w:hangingChars="300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各学院学生会需严格按照要求的内容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（详见附件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和排版次序准备参评材料，内容简明扼要，突出学院特色，展示精品活动，并装订成册，同时上交相应电子稿。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840" w:right="0" w:rightChars="0" w:hanging="720" w:hangingChars="300"/>
        <w:textAlignment w:val="auto"/>
        <w:outlineLvl w:val="9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上述优秀学院学生会参评材料为基本内容设置，如有未包含的并可体现学</w:t>
      </w:r>
      <w:r>
        <w:rPr>
          <w:rFonts w:hint="eastAsia" w:ascii="宋体" w:hAnsi="宋体"/>
          <w:color w:val="000000"/>
          <w:sz w:val="24"/>
          <w:szCs w:val="24"/>
        </w:rPr>
        <w:t>院学生工作特色的方面，各学院学生会可自行添加。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4"/>
          <w:szCs w:val="24"/>
        </w:rPr>
        <w:t>3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参评材料统一格式要求：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</w:rPr>
        <w:t>（1）题目三号黑体加粗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840" w:firstLineChars="35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（2）正文四号宋体，单倍行间距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4"/>
          <w:szCs w:val="24"/>
        </w:rPr>
        <w:t>）封皮统一《201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4"/>
          <w:szCs w:val="24"/>
        </w:rPr>
        <w:t>年度浙江科技学院第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color w:val="000000"/>
          <w:sz w:val="24"/>
          <w:szCs w:val="24"/>
        </w:rPr>
        <w:t>届优秀学院学生会评选参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000000"/>
          <w:sz w:val="24"/>
          <w:szCs w:val="24"/>
        </w:rPr>
        <w:t>评材料》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380" w:leftChars="200" w:right="0" w:rightChars="0" w:hanging="960" w:hangingChars="4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）优秀学院学生会参评材料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建议控制在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100-300页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各项材料需保证真实有效，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若发现并经证实有弄虚作假，酌情考虑是否取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 xml:space="preserve">  消该学院学生会评选资格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sz w:val="24"/>
          <w:szCs w:val="24"/>
        </w:rPr>
        <w:t>、参评材料送审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参评材料需于</w:t>
      </w:r>
      <w:r>
        <w:rPr>
          <w:rFonts w:hint="eastAsia" w:ascii="宋体" w:hAnsi="宋体"/>
          <w:color w:val="000000"/>
          <w:sz w:val="24"/>
          <w:lang w:val="en-US" w:eastAsia="zh-CN"/>
        </w:rPr>
        <w:t>11月17日</w:t>
      </w:r>
      <w:r>
        <w:rPr>
          <w:rFonts w:hint="eastAsia" w:ascii="宋体" w:hAnsi="宋体"/>
          <w:sz w:val="24"/>
          <w:szCs w:val="24"/>
          <w:lang w:val="en-US" w:eastAsia="zh-CN"/>
        </w:rPr>
        <w:t>16时</w:t>
      </w:r>
      <w:r>
        <w:rPr>
          <w:rFonts w:hint="eastAsia" w:ascii="宋体" w:hAnsi="宋体"/>
          <w:sz w:val="24"/>
          <w:szCs w:val="24"/>
        </w:rPr>
        <w:t>前送</w:t>
      </w:r>
      <w:r>
        <w:rPr>
          <w:rFonts w:hint="eastAsia" w:ascii="宋体" w:hAnsi="宋体"/>
          <w:sz w:val="24"/>
          <w:szCs w:val="24"/>
          <w:lang w:eastAsia="zh-CN"/>
        </w:rPr>
        <w:t>达</w:t>
      </w:r>
      <w:r>
        <w:rPr>
          <w:rFonts w:hint="eastAsia" w:ascii="宋体" w:hAnsi="宋体"/>
          <w:sz w:val="24"/>
          <w:szCs w:val="24"/>
          <w:lang w:val="en-US" w:eastAsia="zh-CN"/>
        </w:rPr>
        <w:t>至行政楼214办公室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/>
        <w:textAlignment w:val="auto"/>
        <w:outlineLvl w:val="9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700" w:right="0" w:rightChars="0" w:hanging="600" w:hangingChars="250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优秀学院学生会参评材料及相关说明等资料均可以登录</w:t>
      </w:r>
      <w:r>
        <w:rPr>
          <w:rFonts w:hint="eastAsia" w:ascii="宋体" w:hAnsi="宋体"/>
          <w:sz w:val="24"/>
          <w:szCs w:val="24"/>
          <w:lang w:eastAsia="zh-CN"/>
        </w:rPr>
        <w:t>共青团浙江科技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700" w:right="0" w:rightChars="0" w:hanging="600" w:hangingChars="25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lang w:eastAsia="zh-CN"/>
        </w:rPr>
        <w:t>学院委员会官网进行下载、查阅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 w:firstLine="480" w:firstLineChars="20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各学院学生会所递交的材料均由</w:t>
      </w:r>
      <w:r>
        <w:rPr>
          <w:rFonts w:hint="eastAsia" w:ascii="宋体" w:hAnsi="宋体"/>
          <w:sz w:val="24"/>
          <w:szCs w:val="24"/>
          <w:lang w:val="en-US" w:eastAsia="zh-CN"/>
        </w:rPr>
        <w:t>浙江科技学院学生会办公室</w:t>
      </w:r>
      <w:r>
        <w:rPr>
          <w:rFonts w:hint="eastAsia" w:ascii="宋体" w:hAnsi="宋体"/>
          <w:sz w:val="24"/>
          <w:szCs w:val="24"/>
        </w:rPr>
        <w:t>整理后</w:t>
      </w:r>
      <w:r>
        <w:rPr>
          <w:rFonts w:hint="eastAsia" w:ascii="宋体" w:hAnsi="宋体"/>
          <w:sz w:val="24"/>
          <w:szCs w:val="24"/>
          <w:lang w:eastAsia="zh-CN"/>
        </w:rPr>
        <w:t>递</w:t>
      </w:r>
      <w:r>
        <w:rPr>
          <w:rFonts w:hint="eastAsia" w:ascii="宋体" w:hAnsi="宋体"/>
          <w:sz w:val="24"/>
          <w:szCs w:val="24"/>
        </w:rPr>
        <w:t>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0" w:rightChars="0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本次活动</w:t>
      </w:r>
      <w:r>
        <w:rPr>
          <w:rFonts w:hint="eastAsia" w:ascii="宋体" w:hAnsi="宋体"/>
          <w:sz w:val="24"/>
          <w:szCs w:val="24"/>
          <w:lang w:val="en-US" w:eastAsia="zh-CN"/>
        </w:rPr>
        <w:t>评审小组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2394"/>
        </w:tabs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002020204"/>
    <w:charset w:val="7A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oDtrgBAABUAwAADgAAAGRycy9lMm9Eb2MueG1srVPBahsxEL0H+g9C&#10;93rXhgRnsRwSQkqhtIEkHyBrJa9A0ghJ9q5/oP2DnnrpPd/l78hI9jqhvYVctDOa0Zv3ZmYXV4M1&#10;ZCtD1OAYnU5qSqQT0Gq3ZvTp8e7znJKYuGu5AScZ3clIr5afzha9b+QMOjCtDARBXGx6z2iXkm+q&#10;KopOWh4n4KXDoIJgeUI3rKs28B7RralmdX1R9RBaH0DIGPH29hCky4KvlBTph1JRJmIYRW6pnKGc&#10;q3xWywVv1oH7TosjDf4OFpZrh0VPULc8cbIJ+j8oq0WACCpNBNgKlNJCFg2oZlr/o+ah414WLdic&#10;6E9tih8HK75v7wPRLaMXlDhucUT737/2f573f3+SaW5P72ODWQ8e89JwAwOOebyPeJlVDyrY/EU9&#10;BOPY6N2puXJIRORH89l8XmNIYGx0EL96fe5DTF8kWJINRgNOrzSVb7/FdEgdU3I1B3famDJB40jP&#10;6OX57Lw8OEUQ3DiskUUcyGYrDavhqGwF7Q6F9bgBjDpcUUrMV4cNzssyGmE0VqOx8UGvO+Q4LfWi&#10;v94kZFNI5goH2GNhHF2ReVyzvBtv/ZL1+jMsX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mMoDt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172210" cy="346710"/>
          <wp:effectExtent l="0" t="0" r="8890" b="1524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3467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sz w:val="21"/>
        <w:szCs w:val="21"/>
      </w:rPr>
      <w:t>浙江科技学院学生会【真诚服务，敢于创新】</w:t>
    </w:r>
  </w:p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A6060"/>
    <w:rsid w:val="036A60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 w:cs="Times New Roman"/>
      <w:sz w:val="30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2016-11-01T10:40:00Z</dcterms:created>
  <dc:creator>Administrator</dc:creator>
  <cp:lastModifiedBy>Administrator</cp:lastModifiedBy>
  <dcterms:modified xsi:type="dcterms:W3CDTF">2016-11-01T10:45:44Z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