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1074" w:type="dxa"/>
        <w:tblInd w:w="-13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00"/>
        <w:gridCol w:w="1323"/>
        <w:gridCol w:w="859"/>
        <w:gridCol w:w="1445"/>
        <w:gridCol w:w="641"/>
        <w:gridCol w:w="2353"/>
        <w:gridCol w:w="1084"/>
        <w:gridCol w:w="1085"/>
        <w:gridCol w:w="1084"/>
      </w:tblGrid>
      <w:tr>
        <w:trPr>
          <w:trHeight w:val="1309" w:hRule="atLeast"/>
        </w:trPr>
        <w:tc>
          <w:tcPr>
            <w:tcW w:w="11074"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bookmarkStart w:id="0" w:name="_GoBack"/>
            <w:bookmarkEnd w:id="0"/>
            <w:r>
              <w:rPr>
                <w:rFonts w:hint="eastAsia" w:ascii="宋体" w:hAnsi="宋体" w:eastAsia="宋体" w:cs="宋体"/>
                <w:b/>
                <w:bCs/>
                <w:i w:val="0"/>
                <w:color w:val="000000"/>
                <w:kern w:val="0"/>
                <w:sz w:val="40"/>
                <w:szCs w:val="40"/>
                <w:u w:val="none"/>
                <w:lang w:val="en-US" w:eastAsia="zh-CN" w:bidi="ar"/>
              </w:rPr>
              <w:t>浙江科技学院优秀二级社团联考核细则</w:t>
            </w:r>
          </w:p>
        </w:tc>
      </w:tr>
      <w:tr>
        <w:trPr>
          <w:trHeight w:val="542" w:hRule="atLeast"/>
        </w:trPr>
        <w:tc>
          <w:tcPr>
            <w:tcW w:w="11074" w:type="dxa"/>
            <w:gridSpan w:val="9"/>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 xml:space="preserve">                     考核二级社团联：                      考核人：</w:t>
            </w:r>
          </w:p>
        </w:tc>
      </w:tr>
      <w:tr>
        <w:trPr>
          <w:trHeight w:val="697"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一级指标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考核内容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分值</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考核指标</w:t>
            </w:r>
          </w:p>
        </w:tc>
        <w:tc>
          <w:tcPr>
            <w:tcW w:w="64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分值</w:t>
            </w:r>
          </w:p>
        </w:tc>
        <w:tc>
          <w:tcPr>
            <w:tcW w:w="235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三级考核考核指标</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自评分</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得分</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备注</w:t>
            </w:r>
          </w:p>
        </w:tc>
      </w:tr>
      <w:tr>
        <w:trPr>
          <w:trHeight w:val="215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规范    指标    共55分</w:t>
            </w: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二级社团联活动开展</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10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二级社团联于每年开展过两次及以上成员全体性活动。需上交活动策划书，并随策划附上活动详细财务预算</w:t>
            </w:r>
          </w:p>
        </w:tc>
        <w:tc>
          <w:tcPr>
            <w:tcW w:w="641"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5</w:t>
            </w:r>
          </w:p>
        </w:tc>
        <w:tc>
          <w:tcPr>
            <w:tcW w:w="2353"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每年全体性活动少于两次-1分，未上交活动策划书-1分，未随策划附上活动详细财务预算-1分</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r>
      <w:tr>
        <w:trPr>
          <w:trHeight w:val="1671"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二级社团联正常开展每周的常规活动如例会。</w:t>
            </w:r>
          </w:p>
        </w:tc>
        <w:tc>
          <w:tcPr>
            <w:tcW w:w="641"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5</w:t>
            </w:r>
          </w:p>
        </w:tc>
        <w:tc>
          <w:tcPr>
            <w:tcW w:w="2353"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经审核后未正常开展每周常规活动-1分</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r>
      <w:tr>
        <w:trPr>
          <w:trHeight w:val="1383"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二级社团联上交社团资料情况</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2"/>
                <w:szCs w:val="22"/>
                <w:u w:val="none"/>
                <w:lang w:val="en-US" w:eastAsia="zh-CN"/>
                <w14:textFill>
                  <w14:solidFill>
                    <w14:schemeClr w14:val="tx1"/>
                  </w14:solidFill>
                </w14:textFill>
              </w:rPr>
              <w:t>20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1"/>
                <w:szCs w:val="21"/>
                <w:u w:val="none"/>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二级社团联每月月初上交学院内所有社团活动的策划书、财务预算。</w:t>
            </w:r>
          </w:p>
        </w:tc>
        <w:tc>
          <w:tcPr>
            <w:tcW w:w="641"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2"/>
                <w:szCs w:val="22"/>
                <w:u w:val="none"/>
                <w:lang w:val="en-US" w:eastAsia="zh-CN"/>
                <w14:textFill>
                  <w14:solidFill>
                    <w14:schemeClr w14:val="tx1"/>
                  </w14:solidFill>
                </w14:textFill>
              </w:rPr>
              <w:t>10</w:t>
            </w:r>
          </w:p>
        </w:tc>
        <w:tc>
          <w:tcPr>
            <w:tcW w:w="2353"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2"/>
                <w:szCs w:val="22"/>
                <w:u w:val="none"/>
                <w:lang w:val="en-US" w:eastAsia="zh-CN"/>
                <w14:textFill>
                  <w14:solidFill>
                    <w14:schemeClr w14:val="tx1"/>
                  </w14:solidFill>
                </w14:textFill>
              </w:rPr>
              <w:t>在规定时间内及时上交学院内所有社团策划书得5分，超过规定时间补交得3分，不上交得基础分2分</w:t>
            </w:r>
          </w:p>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2"/>
                <w:szCs w:val="22"/>
                <w:u w:val="none"/>
                <w:lang w:val="en-US" w:eastAsia="zh-CN"/>
                <w14:textFill>
                  <w14:solidFill>
                    <w14:schemeClr w14:val="tx1"/>
                  </w14:solidFill>
                </w14:textFill>
              </w:rPr>
              <w:t>在规定时间内及时上交学院内所有社团财务预算</w:t>
            </w:r>
            <w:r>
              <w:rPr>
                <w:rFonts w:hint="eastAsia" w:ascii="宋体" w:hAnsi="宋体" w:eastAsia="宋体" w:cs="宋体"/>
                <w:b w:val="0"/>
                <w:bCs w:val="0"/>
                <w:i w:val="0"/>
                <w:color w:val="000000" w:themeColor="text1"/>
                <w:sz w:val="22"/>
                <w:szCs w:val="22"/>
                <w:u w:val="none"/>
                <w:lang w:val="en-US" w:eastAsia="zh-CN"/>
                <w14:textFill>
                  <w14:solidFill>
                    <w14:schemeClr w14:val="tx1"/>
                  </w14:solidFill>
                </w14:textFill>
              </w:rPr>
              <w:t>得5分，超过规定时间补交得3分，不上交得基础分2分</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r>
      <w:tr>
        <w:trPr>
          <w:trHeight w:val="5131"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1"/>
                <w:szCs w:val="21"/>
                <w:u w:val="none"/>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二级社团联每月月末上交学院内所有社团活动财物报表和场地审批、设摊单，最迟至下月7号。</w:t>
            </w:r>
          </w:p>
        </w:tc>
        <w:tc>
          <w:tcPr>
            <w:tcW w:w="641"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2"/>
                <w:szCs w:val="22"/>
                <w:u w:val="none"/>
                <w:lang w:val="en-US" w:eastAsia="zh-CN"/>
                <w14:textFill>
                  <w14:solidFill>
                    <w14:schemeClr w14:val="tx1"/>
                  </w14:solidFill>
                </w14:textFill>
              </w:rPr>
              <w:t>10</w:t>
            </w:r>
          </w:p>
        </w:tc>
        <w:tc>
          <w:tcPr>
            <w:tcW w:w="2353"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2"/>
                <w:szCs w:val="22"/>
                <w:u w:val="none"/>
                <w:lang w:val="en-US" w:eastAsia="zh-CN"/>
                <w14:textFill>
                  <w14:solidFill>
                    <w14:schemeClr w14:val="tx1"/>
                  </w14:solidFill>
                </w14:textFill>
              </w:rPr>
              <w:t>在规定时间内未上交相应资料得基础分6分；在规定时间内上交的资料不完全（1，社团或二级社团联本月若无财务收支，需有文件备注否则视为上交资料不完全,2，上交资料中缺少相应的场地审批单或设摊单视为上交资料不完全）得8分；若未出现上述任一情况则此项得10分</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r>
      <w:tr>
        <w:trPr>
          <w:trHeight w:val="468" w:hRule="atLeast"/>
        </w:trPr>
        <w:tc>
          <w:tcPr>
            <w:tcW w:w="12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32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二级社团联</w:t>
            </w: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换届和招新</w:t>
            </w:r>
          </w:p>
        </w:tc>
        <w:tc>
          <w:tcPr>
            <w:tcW w:w="85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5</w:t>
            </w:r>
          </w:p>
        </w:tc>
        <w:tc>
          <w:tcPr>
            <w:tcW w:w="1445"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1"/>
                <w:szCs w:val="21"/>
                <w:u w:val="none"/>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二级社团联有序做好换届工作，并在招新后半月内上交小和山校区二级社团联现任成员名单，要求真实可信，且本学年内二级社团联人数稳定在学年末提交实在的小和山校区二级社团联人员名单</w:t>
            </w:r>
          </w:p>
        </w:tc>
        <w:tc>
          <w:tcPr>
            <w:tcW w:w="641" w:type="dxa"/>
            <w:tcBorders>
              <w:top w:val="single" w:color="000000" w:sz="4" w:space="0"/>
              <w:left w:val="single" w:color="000000" w:sz="4" w:space="0"/>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5</w:t>
            </w:r>
          </w:p>
        </w:tc>
        <w:tc>
          <w:tcPr>
            <w:tcW w:w="2353" w:type="dxa"/>
            <w:tcBorders>
              <w:top w:val="single" w:color="000000" w:sz="4" w:space="0"/>
              <w:left w:val="single" w:color="auto" w:sz="4" w:space="0"/>
              <w:bottom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二级社团联有序做好换届工作，并在招新后半月内上交小和山校区二级社团联现任成员名单，要求真实可信，且本学年内社团人数稳定在学年末提交实在的小和山校区二级社团联人员名单得5分</w:t>
            </w:r>
          </w:p>
        </w:tc>
        <w:tc>
          <w:tcPr>
            <w:tcW w:w="1084"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5"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4"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r>
      <w:tr>
        <w:trPr>
          <w:trHeight w:val="1039" w:hRule="atLeast"/>
        </w:trPr>
        <w:tc>
          <w:tcPr>
            <w:tcW w:w="120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32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二级社团联</w:t>
            </w: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违纪情况</w:t>
            </w:r>
          </w:p>
        </w:tc>
        <w:tc>
          <w:tcPr>
            <w:tcW w:w="859"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10</w:t>
            </w:r>
          </w:p>
        </w:tc>
        <w:tc>
          <w:tcPr>
            <w:tcW w:w="144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二级社团联在一学年里未被投诉且情况属实</w:t>
            </w:r>
          </w:p>
        </w:tc>
        <w:tc>
          <w:tcPr>
            <w:tcW w:w="641" w:type="dxa"/>
            <w:tcBorders>
              <w:top w:val="single" w:color="auto"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5</w:t>
            </w:r>
          </w:p>
        </w:tc>
        <w:tc>
          <w:tcPr>
            <w:tcW w:w="2353" w:type="dxa"/>
            <w:tcBorders>
              <w:top w:val="single" w:color="auto" w:sz="4" w:space="0"/>
              <w:left w:val="single" w:color="auto" w:sz="4" w:space="0"/>
              <w:bottom w:val="single" w:color="000000" w:sz="4" w:space="0"/>
              <w:right w:val="single" w:color="000000" w:sz="4" w:space="0"/>
            </w:tcBorders>
            <w:shd w:val="clear" w:color="auto" w:fill="FFFFFF" w:themeFill="background1"/>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若二级社团联一年内出现被投诉并且经查属实的情况则此项得0分；若社团一年内未出现被投诉并且经查属实的情况则此项得5分</w:t>
            </w:r>
          </w:p>
        </w:tc>
        <w:tc>
          <w:tcPr>
            <w:tcW w:w="1084"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5"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4" w:type="dxa"/>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r>
      <w:tr>
        <w:trPr>
          <w:trHeight w:val="1039"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二级社团联未出现不遵循规定程序处理的情况。</w:t>
            </w:r>
          </w:p>
        </w:tc>
        <w:tc>
          <w:tcPr>
            <w:tcW w:w="641"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5</w:t>
            </w:r>
          </w:p>
        </w:tc>
        <w:tc>
          <w:tcPr>
            <w:tcW w:w="2353" w:type="dxa"/>
            <w:tcBorders>
              <w:top w:val="single" w:color="000000" w:sz="4" w:space="0"/>
              <w:left w:val="single" w:color="auto" w:sz="4" w:space="0"/>
              <w:bottom w:val="single" w:color="000000" w:sz="4" w:space="0"/>
              <w:right w:val="single" w:color="000000" w:sz="4" w:space="0"/>
            </w:tcBorders>
            <w:shd w:val="clear" w:color="auto" w:fill="FFFFFF" w:themeFill="background1"/>
            <w:textDirection w:val="lrTb"/>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若二级社团联上交的资料中缺失应有的资料(如活动中需要借用教室却未上交教室审批单则视为该社团未审批教室即视为未按程序行事等情况)则此项得基础分3分；若均遵循规定程序处理则此项得5分</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r>
      <w:tr>
        <w:trPr>
          <w:trHeight w:val="1639"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社团负责人大会和联席会议</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2"/>
                <w:szCs w:val="22"/>
                <w:u w:val="none"/>
                <w:lang w:val="en-US" w:eastAsia="zh-CN"/>
                <w14:textFill>
                  <w14:solidFill>
                    <w14:schemeClr w14:val="tx1"/>
                  </w14:solidFill>
                </w14:textFill>
              </w:rPr>
              <w:t>5</w:t>
            </w:r>
          </w:p>
        </w:tc>
        <w:tc>
          <w:tcPr>
            <w:tcW w:w="1445" w:type="dxa"/>
            <w:tcBorders>
              <w:top w:val="single" w:color="000000" w:sz="4" w:space="0"/>
              <w:left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1"/>
                <w:szCs w:val="21"/>
                <w:u w:val="none"/>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社团负责人大会和联席会议，主席亲自到场，</w:t>
            </w:r>
            <w:r>
              <w:rPr>
                <w:rFonts w:hint="eastAsia" w:ascii="宋体" w:hAnsi="宋体" w:eastAsia="宋体" w:cs="宋体"/>
                <w:i w:val="0"/>
                <w:color w:val="000000"/>
                <w:kern w:val="0"/>
                <w:sz w:val="22"/>
                <w:szCs w:val="22"/>
                <w:u w:val="none"/>
                <w:lang w:val="en-US" w:eastAsia="zh-CN" w:bidi="ar"/>
              </w:rPr>
              <w:t>或找相关负责人代替，且不得迟到或早退</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w:t>
            </w:r>
          </w:p>
        </w:tc>
        <w:tc>
          <w:tcPr>
            <w:tcW w:w="641" w:type="dxa"/>
            <w:tcBorders>
              <w:top w:val="single" w:color="000000" w:sz="4" w:space="0"/>
              <w:left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5</w:t>
            </w:r>
          </w:p>
        </w:tc>
        <w:tc>
          <w:tcPr>
            <w:tcW w:w="2353" w:type="dxa"/>
            <w:tcBorders>
              <w:top w:val="single" w:color="000000" w:sz="4" w:space="0"/>
              <w:left w:val="single" w:color="auto"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未出现迟到早退现象得5分；出现迟到或者早退得3分；未出席得0分</w:t>
            </w:r>
          </w:p>
        </w:tc>
        <w:tc>
          <w:tcPr>
            <w:tcW w:w="1084" w:type="dxa"/>
            <w:tcBorders>
              <w:top w:val="single" w:color="000000" w:sz="4" w:space="0"/>
              <w:left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5" w:type="dxa"/>
            <w:tcBorders>
              <w:top w:val="single" w:color="000000" w:sz="4" w:space="0"/>
              <w:left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r>
      <w:tr>
        <w:trPr>
          <w:trHeight w:val="82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社团意见</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1"/>
                <w:szCs w:val="21"/>
                <w:u w:val="none"/>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相应挂靠社团反映二级社团联的工作满意度。</w:t>
            </w:r>
          </w:p>
        </w:tc>
        <w:tc>
          <w:tcPr>
            <w:tcW w:w="641"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5</w:t>
            </w:r>
          </w:p>
        </w:tc>
        <w:tc>
          <w:tcPr>
            <w:tcW w:w="2353"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若挂靠社团对二级社团联工作出现异议经核实后酌情扣分，反之得5分</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r>
      <w:tr>
        <w:trPr>
          <w:trHeight w:val="1907" w:hRule="atLeast"/>
        </w:trPr>
        <w:tc>
          <w:tcPr>
            <w:tcW w:w="25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协助社团活动          共15分</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15</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1"/>
                <w:szCs w:val="21"/>
                <w:u w:val="none"/>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二级社团联协助</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社团良好开展活动（前期宣传、活动开展、后期收尾）</w:t>
            </w:r>
          </w:p>
        </w:tc>
        <w:tc>
          <w:tcPr>
            <w:tcW w:w="641"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2"/>
                <w:szCs w:val="22"/>
                <w:u w:val="none"/>
                <w:lang w:val="en-US" w:eastAsia="zh-CN"/>
                <w14:textFill>
                  <w14:solidFill>
                    <w14:schemeClr w14:val="tx1"/>
                  </w14:solidFill>
                </w14:textFill>
              </w:rPr>
              <w:t>6</w:t>
            </w:r>
          </w:p>
        </w:tc>
        <w:tc>
          <w:tcPr>
            <w:tcW w:w="2353"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lang w:val="en-US" w:eastAsia="zh-CN"/>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若挂靠社团对二级社团联工作出现异议经核实后酌情扣分，反之得6分</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r>
      <w:tr>
        <w:trPr>
          <w:trHeight w:val="1703" w:hRule="atLeast"/>
        </w:trPr>
        <w:tc>
          <w:tcPr>
            <w:tcW w:w="25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lang w:val="en-US" w:eastAsia="zh-CN"/>
                <w14:textFill>
                  <w14:solidFill>
                    <w14:schemeClr w14:val="tx1"/>
                  </w14:solidFill>
                </w14:textFill>
              </w:rPr>
            </w:pPr>
            <w:r>
              <w:rPr>
                <w:rFonts w:hint="eastAsia" w:ascii="宋体" w:hAnsi="宋体" w:eastAsia="宋体" w:cs="宋体"/>
                <w:b w:val="0"/>
                <w:bCs w:val="0"/>
                <w:i w:val="0"/>
                <w:color w:val="000000" w:themeColor="text1"/>
                <w:sz w:val="22"/>
                <w:szCs w:val="22"/>
                <w:u w:val="none"/>
                <w:lang w:val="en-US" w:eastAsia="zh-CN"/>
                <w14:textFill>
                  <w14:solidFill>
                    <w14:schemeClr w14:val="tx1"/>
                  </w14:solidFill>
                </w14:textFill>
              </w:rPr>
              <w:t>二级社团联物资提供（被分到物资的学院物资完好得9分，破损予以一定的扣分，未分到的得5分。）</w:t>
            </w:r>
          </w:p>
        </w:tc>
        <w:tc>
          <w:tcPr>
            <w:tcW w:w="641"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9</w:t>
            </w:r>
          </w:p>
        </w:tc>
        <w:tc>
          <w:tcPr>
            <w:tcW w:w="2353"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未被分到物资的学院此项得5分；被分到物资的学院得9分，若有如下情况则在原9分内相应减分（若每月经权益部工作人员清点后发现有遗失或破损总数&lt;=2则减2分若遗失或破损总数&gt;=2则减4分）</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r>
      <w:tr>
        <w:trPr>
          <w:trHeight w:val="1511" w:hRule="atLeast"/>
        </w:trPr>
        <w:tc>
          <w:tcPr>
            <w:tcW w:w="25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1"/>
                <w:szCs w:val="21"/>
                <w:u w:val="none"/>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社团管理              共30分</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30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挂靠社团积极参与校学生社团联合会的比赛、活动将进行相应的加分。</w:t>
            </w:r>
          </w:p>
        </w:tc>
        <w:tc>
          <w:tcPr>
            <w:tcW w:w="641"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5</w:t>
            </w:r>
          </w:p>
        </w:tc>
        <w:tc>
          <w:tcPr>
            <w:tcW w:w="2353"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有相应的活动记录得5分</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r>
      <w:tr>
        <w:trPr>
          <w:trHeight w:val="1039" w:hRule="atLeast"/>
        </w:trPr>
        <w:tc>
          <w:tcPr>
            <w:tcW w:w="25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themeColor="text1"/>
                <w:sz w:val="21"/>
                <w:szCs w:val="21"/>
                <w:u w:val="none"/>
                <w14:textFill>
                  <w14:solidFill>
                    <w14:schemeClr w14:val="tx1"/>
                  </w14:solidFill>
                </w14:textFill>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挂靠社团积极承办各类活动。</w:t>
            </w:r>
          </w:p>
        </w:tc>
        <w:tc>
          <w:tcPr>
            <w:tcW w:w="641"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10</w:t>
            </w:r>
          </w:p>
        </w:tc>
        <w:tc>
          <w:tcPr>
            <w:tcW w:w="2353"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承办一次活动并且有相应的完整活动记录得1分，累计得分至10分</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r>
      <w:tr>
        <w:trPr>
          <w:trHeight w:val="1000" w:hRule="atLeast"/>
        </w:trPr>
        <w:tc>
          <w:tcPr>
            <w:tcW w:w="25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themeColor="text1"/>
                <w:sz w:val="21"/>
                <w:szCs w:val="21"/>
                <w:u w:val="none"/>
                <w14:textFill>
                  <w14:solidFill>
                    <w14:schemeClr w14:val="tx1"/>
                  </w14:solidFill>
                </w14:textFill>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挂靠社团遵守二级社团联定制的规则制度情况。</w:t>
            </w:r>
          </w:p>
        </w:tc>
        <w:tc>
          <w:tcPr>
            <w:tcW w:w="641"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5</w:t>
            </w:r>
          </w:p>
        </w:tc>
        <w:tc>
          <w:tcPr>
            <w:tcW w:w="2353"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二级社团联无相关社团违规报备得5分</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r>
      <w:tr>
        <w:trPr>
          <w:trHeight w:val="1330" w:hRule="atLeast"/>
        </w:trPr>
        <w:tc>
          <w:tcPr>
            <w:tcW w:w="25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themeColor="text1"/>
                <w:sz w:val="21"/>
                <w:szCs w:val="21"/>
                <w:u w:val="none"/>
                <w14:textFill>
                  <w14:solidFill>
                    <w14:schemeClr w14:val="tx1"/>
                  </w14:solidFill>
                </w14:textFill>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4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考察挂靠社团的优秀情况（星级社团数量、学分制社团数量等）</w:t>
            </w:r>
          </w:p>
        </w:tc>
        <w:tc>
          <w:tcPr>
            <w:tcW w:w="641"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sz w:val="22"/>
                <w:szCs w:val="22"/>
                <w:u w:val="none"/>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10</w:t>
            </w:r>
          </w:p>
        </w:tc>
        <w:tc>
          <w:tcPr>
            <w:tcW w:w="2353"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五星级社团数量乘以2分，学分制社团数量乘以2分，累计至10分</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b w:val="0"/>
                <w:bCs w:val="0"/>
                <w:i w:val="0"/>
                <w:color w:val="000000" w:themeColor="text1"/>
                <w:sz w:val="22"/>
                <w:szCs w:val="22"/>
                <w:u w:val="none"/>
                <w14:textFill>
                  <w14:solidFill>
                    <w14:schemeClr w14:val="tx1"/>
                  </w14:solidFill>
                </w14:textFill>
              </w:rPr>
            </w:pPr>
          </w:p>
        </w:tc>
      </w:tr>
    </w:tbl>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00000000" w:usb1="00000000" w:usb2="00000016" w:usb3="00000000" w:csb0="00040001" w:csb1="00000000"/>
  </w:font>
  <w:font w:name="方正兰亭超细黑简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0" w:usb1="00000000" w:usb2="00000006"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微软雅黑">
    <w:panose1 w:val="020B0503020204020204"/>
    <w:charset w:val="86"/>
    <w:family w:val="auto"/>
    <w:pitch w:val="default"/>
    <w:sig w:usb0="00000000" w:usb1="00000000" w:usb2="00000016" w:usb3="00000000" w:csb0="0004001F" w:csb1="00000000"/>
  </w:font>
  <w:font w:name="Calibri Light">
    <w:altName w:val="Calibri"/>
    <w:panose1 w:val="020F0302020204030204"/>
    <w:charset w:val="00"/>
    <w:family w:val="auto"/>
    <w:pitch w:val="default"/>
    <w:sig w:usb0="00000000" w:usb1="00000000"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2016-12-07T09:29:00Z</dcterms:created>
  <dc:creator>Administrator</dc:creator>
  <cp:lastModifiedBy>“pa”的 iPhone</cp:lastModifiedBy>
  <dcterms:modified xsi:type="dcterms:W3CDTF">2017-03-02T19:01:44Z</dcterms:modified>
  <cp:revision>1</cp:revision>
</cp:coreProperties>
</file>